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t xml:space="preserve"/>
      </w:r>
    </w:p>
    <w:p>
      <w:pPr>
        <w:spacing w:after="40" w:before="80"/>
      </w:pPr>
      <w:r>
        <w:rPr>
          <w:rFonts w:ascii="Arial" w:cs="Arial" w:eastAsia="Arial" w:hAnsi="Arial"/>
          <w:b/>
          <w:bCs/>
          <w:color w:val="1B3A6B"/>
          <w:sz w:val="48"/>
          <w:szCs w:val="48"/>
        </w:rPr>
        <w:t xml:space="preserve">Accessibility Statement</w:t>
      </w:r>
    </w:p>
    <w:p>
      <w:pPr>
        <w:pBdr>
          <w:bottom w:val="single" w:color="2E75B6" w:sz="8" w:space="4"/>
        </w:pBdr>
        <w:spacing w:after="200" w:before="0"/>
      </w:pPr>
      <w:r>
        <w:rPr>
          <w:rFonts w:ascii="Arial" w:cs="Arial" w:eastAsia="Arial" w:hAnsi="Arial"/>
          <w:color w:val="555555"/>
          <w:sz w:val="22"/>
          <w:szCs w:val="22"/>
        </w:rPr>
        <w:t xml:space="preserve">TLSPH LTD  |  The London School of Public Health</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Document Reference</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TLSPH-POL-008</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Version</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1.0</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Date Issued</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August 2025</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Next Review Date</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August 2026</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Applies To</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www.thelondonschoolofpublichealth.com and all TLSPH digital learning platforms</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UK Legislative Framework</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Public Sector Bodies (Websites and Mobile Applications) (No. 2) Accessibility Regulations 2018 | Equality Act 2010 (s.20 — Duty to Make Reasonable Adjustments) | Web Content Accessibility Guidelines (WCAG) 2.1 Level AA | BS 8878:2010 Web Accessibility Code of Practice | European Accessibility Act (as transposed into UK law) | Government Digital Service (GDS) Accessibility Guidance</w:t>
            </w:r>
          </w:p>
        </w:tc>
      </w:tr>
    </w:tbl>
    <w:p>
      <w:pPr>
        <w:spacing w:after="80" w:before="0"/>
      </w:pPr>
      <w:r>
        <w:t xml:space="preserve"/>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AF7EF" w:val="clear"/>
            <w:tcMar>
              <w:top w:type="dxa" w:w="120"/>
              <w:left w:type="dxa" w:w="200"/>
              <w:bottom w:type="dxa" w:w="120"/>
              <w:right w:type="dxa" w:w="200"/>
            </w:tcMar>
          </w:tcPr>
          <w:p>
            <w:pPr>
              <w:spacing w:after="60" w:before="0"/>
            </w:pPr>
            <w:r>
              <w:rPr>
                <w:rFonts w:ascii="Arial" w:cs="Arial" w:eastAsia="Arial" w:hAnsi="Arial"/>
                <w:b/>
                <w:bCs/>
                <w:color w:val="1A7A4A"/>
                <w:sz w:val="21"/>
                <w:szCs w:val="21"/>
              </w:rPr>
              <w:t xml:space="preserve">Our Commitment to Accessibility</w:t>
            </w:r>
          </w:p>
          <w:p>
            <w:pPr>
              <w:spacing w:after="10" w:before="10"/>
            </w:pPr>
            <w:r>
              <w:rPr>
                <w:rFonts w:ascii="Arial" w:cs="Arial" w:eastAsia="Arial" w:hAnsi="Arial"/>
                <w:sz w:val="20"/>
                <w:szCs w:val="20"/>
              </w:rPr>
              <w:t xml:space="preserve">TLSPH LTD is committed to making its website and digital learning platforms accessible to all users, including people with disabilities. We aim to comply with the Web Content Accessibility Guidelines (WCAG) 2.1 at Level AA, as required under the Public Sector Bodies Accessibility Regulations 2018 and consistent with our duties under the Equality Act 2010.</w:t>
            </w:r>
          </w:p>
        </w:tc>
      </w:tr>
    </w:tbl>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1. Introduction</w:t>
      </w:r>
    </w:p>
    <w:p>
      <w:pPr>
        <w:spacing w:after="100" w:before="60"/>
      </w:pPr>
      <w:r>
        <w:rPr>
          <w:rFonts w:ascii="Arial" w:cs="Arial" w:eastAsia="Arial" w:hAnsi="Arial"/>
          <w:sz w:val="22"/>
          <w:szCs w:val="22"/>
        </w:rPr>
        <w:t xml:space="preserve">This Accessibility Statement applies to the TLSPH LTD website at www.thelondonschoolofpublichealth.com and to the online learning platforms used to deliver TLSPH programmes. It has been prepared in accordance with the Public Sector Bodies (Websites and Mobile Applications) (No. 2) Accessibility Regulations 2018, which implement the requirements of EU Directive 2016/2102 as retained in UK law, and reflects TLSPH's obligations under section 20 of the Equality Act 2010 to make reasonable adjustments for disabled users.</w:t>
      </w:r>
    </w:p>
    <w:p>
      <w:pPr>
        <w:spacing w:after="100" w:before="60"/>
      </w:pPr>
      <w:r>
        <w:rPr>
          <w:rFonts w:ascii="Arial" w:cs="Arial" w:eastAsia="Arial" w:hAnsi="Arial"/>
          <w:sz w:val="22"/>
          <w:szCs w:val="22"/>
        </w:rPr>
        <w:t xml:space="preserve">We want as many people as possible to be able to use our website and access our courses. This means you should be able to:</w:t>
      </w:r>
    </w:p>
    <w:p>
      <w:pPr>
        <w:pStyle w:val="ListParagraph"/>
        <w:numPr>
          <w:ilvl w:val="0"/>
          <w:numId w:val="2"/>
        </w:numPr>
        <w:spacing w:after="40" w:before="40"/>
      </w:pPr>
      <w:r>
        <w:rPr>
          <w:rFonts w:ascii="Arial" w:cs="Arial" w:eastAsia="Arial" w:hAnsi="Arial"/>
          <w:sz w:val="22"/>
          <w:szCs w:val="22"/>
        </w:rPr>
        <w:t xml:space="preserve">Zoom in up to 300% without content disappearing off the screen</w:t>
      </w:r>
    </w:p>
    <w:p>
      <w:pPr>
        <w:pStyle w:val="ListParagraph"/>
        <w:numPr>
          <w:ilvl w:val="0"/>
          <w:numId w:val="2"/>
        </w:numPr>
        <w:spacing w:after="40" w:before="40"/>
      </w:pPr>
      <w:r>
        <w:rPr>
          <w:rFonts w:ascii="Arial" w:cs="Arial" w:eastAsia="Arial" w:hAnsi="Arial"/>
          <w:sz w:val="22"/>
          <w:szCs w:val="22"/>
        </w:rPr>
        <w:t xml:space="preserve">Navigate most of the website using a keyboard only</w:t>
      </w:r>
    </w:p>
    <w:p>
      <w:pPr>
        <w:pStyle w:val="ListParagraph"/>
        <w:numPr>
          <w:ilvl w:val="0"/>
          <w:numId w:val="2"/>
        </w:numPr>
        <w:spacing w:after="40" w:before="40"/>
      </w:pPr>
      <w:r>
        <w:rPr>
          <w:rFonts w:ascii="Arial" w:cs="Arial" w:eastAsia="Arial" w:hAnsi="Arial"/>
          <w:sz w:val="22"/>
          <w:szCs w:val="22"/>
        </w:rPr>
        <w:t xml:space="preserve">Navigate most of the website using a screen reader</w:t>
      </w:r>
    </w:p>
    <w:p>
      <w:pPr>
        <w:pStyle w:val="ListParagraph"/>
        <w:numPr>
          <w:ilvl w:val="0"/>
          <w:numId w:val="2"/>
        </w:numPr>
        <w:spacing w:after="40" w:before="40"/>
      </w:pPr>
      <w:r>
        <w:rPr>
          <w:rFonts w:ascii="Arial" w:cs="Arial" w:eastAsia="Arial" w:hAnsi="Arial"/>
          <w:sz w:val="22"/>
          <w:szCs w:val="22"/>
        </w:rPr>
        <w:t xml:space="preserve">Listen to most of the content using a screen reader</w:t>
      </w:r>
    </w:p>
    <w:p>
      <w:pPr>
        <w:pStyle w:val="ListParagraph"/>
        <w:numPr>
          <w:ilvl w:val="0"/>
          <w:numId w:val="2"/>
        </w:numPr>
        <w:spacing w:after="40" w:before="40"/>
      </w:pPr>
      <w:r>
        <w:rPr>
          <w:rFonts w:ascii="Arial" w:cs="Arial" w:eastAsia="Arial" w:hAnsi="Arial"/>
          <w:sz w:val="22"/>
          <w:szCs w:val="22"/>
        </w:rPr>
        <w:t xml:space="preserve">Change colours, contrast levels, and fonts using browser or device accessibility settings</w:t>
      </w:r>
    </w:p>
    <w:p>
      <w:pPr>
        <w:spacing w:after="80" w:before="0"/>
      </w:pPr>
      <w:r>
        <w:t xml:space="preserve"/>
      </w:r>
    </w:p>
    <w:p>
      <w:pPr>
        <w:spacing w:after="100" w:before="60"/>
      </w:pPr>
      <w:r>
        <w:rPr>
          <w:rFonts w:ascii="Arial" w:cs="Arial" w:eastAsia="Arial" w:hAnsi="Arial"/>
          <w:sz w:val="22"/>
          <w:szCs w:val="22"/>
        </w:rPr>
        <w:t xml:space="preserve">AbilityNet has advice on making your device easier to use if you have a disability: mcmw.abilitynet.org.uk</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2. UK Legal Framework</w:t>
      </w:r>
    </w:p>
    <w:p>
      <w:pPr>
        <w:spacing w:after="80" w:before="220"/>
      </w:pPr>
      <w:r>
        <w:rPr>
          <w:rFonts w:ascii="Arial" w:cs="Arial" w:eastAsia="Arial" w:hAnsi="Arial"/>
          <w:b/>
          <w:bCs/>
          <w:color w:val="2E75B6"/>
          <w:sz w:val="24"/>
          <w:szCs w:val="24"/>
        </w:rPr>
        <w:t xml:space="preserve">2.1 Public Sector Bodies Accessibility Regulations 2018</w:t>
      </w:r>
    </w:p>
    <w:p>
      <w:pPr>
        <w:spacing w:after="100" w:before="60"/>
      </w:pPr>
      <w:r>
        <w:rPr>
          <w:rFonts w:ascii="Arial" w:cs="Arial" w:eastAsia="Arial" w:hAnsi="Arial"/>
          <w:sz w:val="22"/>
          <w:szCs w:val="22"/>
        </w:rPr>
        <w:t xml:space="preserve">The Public Sector Bodies (Websites and Mobile Applications) (No. 2) Accessibility Regulations 2018 (SI 2018/952) require public sector bodies to publish an accessibility statement and to make their websites and apps meet the WCAG 2.1 Level AA standard. Whilst TLSPH is a private organisation and not a public sector body within the meaning of the Regulations, we voluntarily adopt these standards as best practice and in fulfilment of our Equality Act 2010 obligations.</w:t>
      </w:r>
    </w:p>
    <w:p>
      <w:pPr>
        <w:spacing w:after="80" w:before="220"/>
      </w:pPr>
      <w:r>
        <w:rPr>
          <w:rFonts w:ascii="Arial" w:cs="Arial" w:eastAsia="Arial" w:hAnsi="Arial"/>
          <w:b/>
          <w:bCs/>
          <w:color w:val="2E75B6"/>
          <w:sz w:val="24"/>
          <w:szCs w:val="24"/>
        </w:rPr>
        <w:t xml:space="preserve">2.2 Equality Act 2010 — Duty to Make Reasonable Adjustments</w:t>
      </w:r>
    </w:p>
    <w:p>
      <w:pPr>
        <w:spacing w:after="100" w:before="60"/>
      </w:pPr>
      <w:r>
        <w:rPr>
          <w:rFonts w:ascii="Arial" w:cs="Arial" w:eastAsia="Arial" w:hAnsi="Arial"/>
          <w:sz w:val="22"/>
          <w:szCs w:val="22"/>
        </w:rPr>
        <w:t xml:space="preserve">Under section 20 of the Equality Act 2010, TLSPH has a duty to make reasonable adjustments to remove or reduce any substantial disadvantage faced by a disabled person in accessing our services. In the context of our website and digital learning platforms, this includes:</w:t>
      </w:r>
    </w:p>
    <w:p>
      <w:pPr>
        <w:pStyle w:val="ListParagraph"/>
        <w:numPr>
          <w:ilvl w:val="0"/>
          <w:numId w:val="2"/>
        </w:numPr>
        <w:spacing w:after="40" w:before="40"/>
      </w:pPr>
      <w:r>
        <w:rPr>
          <w:rFonts w:ascii="Arial" w:cs="Arial" w:eastAsia="Arial" w:hAnsi="Arial"/>
          <w:sz w:val="22"/>
          <w:szCs w:val="22"/>
        </w:rPr>
        <w:t xml:space="preserve">Providing alternative formats for course materials on request (e.g. large print, audio, plain text)</w:t>
      </w:r>
    </w:p>
    <w:p>
      <w:pPr>
        <w:pStyle w:val="ListParagraph"/>
        <w:numPr>
          <w:ilvl w:val="0"/>
          <w:numId w:val="2"/>
        </w:numPr>
        <w:spacing w:after="40" w:before="40"/>
      </w:pPr>
      <w:r>
        <w:rPr>
          <w:rFonts w:ascii="Arial" w:cs="Arial" w:eastAsia="Arial" w:hAnsi="Arial"/>
          <w:sz w:val="22"/>
          <w:szCs w:val="22"/>
        </w:rPr>
        <w:t xml:space="preserve">Ensuring that our online learning environment is compatible with assistive technologies</w:t>
      </w:r>
    </w:p>
    <w:p>
      <w:pPr>
        <w:pStyle w:val="ListParagraph"/>
        <w:numPr>
          <w:ilvl w:val="0"/>
          <w:numId w:val="2"/>
        </w:numPr>
        <w:spacing w:after="40" w:before="40"/>
      </w:pPr>
      <w:r>
        <w:rPr>
          <w:rFonts w:ascii="Arial" w:cs="Arial" w:eastAsia="Arial" w:hAnsi="Arial"/>
          <w:sz w:val="22"/>
          <w:szCs w:val="22"/>
        </w:rPr>
        <w:t xml:space="preserve">Making reasonable adjustments to assessment arrangements for students with disabilities, in accordance with Ofqual requirements</w:t>
      </w:r>
    </w:p>
    <w:p>
      <w:pPr>
        <w:pStyle w:val="ListParagraph"/>
        <w:numPr>
          <w:ilvl w:val="0"/>
          <w:numId w:val="2"/>
        </w:numPr>
        <w:spacing w:after="40" w:before="40"/>
      </w:pPr>
      <w:r>
        <w:rPr>
          <w:rFonts w:ascii="Arial" w:cs="Arial" w:eastAsia="Arial" w:hAnsi="Arial"/>
          <w:sz w:val="22"/>
          <w:szCs w:val="22"/>
        </w:rPr>
        <w:t xml:space="preserve">Providing accessible communication channels for students who cannot use standard digital interfaces</w:t>
      </w:r>
    </w:p>
    <w:p>
      <w:pPr>
        <w:spacing w:after="80" w:before="220"/>
      </w:pPr>
      <w:r>
        <w:rPr>
          <w:rFonts w:ascii="Arial" w:cs="Arial" w:eastAsia="Arial" w:hAnsi="Arial"/>
          <w:b/>
          <w:bCs/>
          <w:color w:val="2E75B6"/>
          <w:sz w:val="24"/>
          <w:szCs w:val="24"/>
        </w:rPr>
        <w:t xml:space="preserve">2.3 Web Content Accessibility Guidelines (WCAG) 2.1</w:t>
      </w:r>
    </w:p>
    <w:p>
      <w:pPr>
        <w:spacing w:after="100" w:before="60"/>
      </w:pPr>
      <w:r>
        <w:rPr>
          <w:rFonts w:ascii="Arial" w:cs="Arial" w:eastAsia="Arial" w:hAnsi="Arial"/>
          <w:sz w:val="22"/>
          <w:szCs w:val="22"/>
        </w:rPr>
        <w:t xml:space="preserve">WCAG 2.1 is the internationally recognised standard for web accessibility, published by the World Wide Web Consortium (W3C). It is organised around four principles — that content must be Perceivable, Operable, Understandable, and Robust (POUR). TLSPH aims to meet Level AA, which is the standard required by UK regulation and best practice guidance from the Government Digital Service (GDS).</w:t>
      </w:r>
    </w:p>
    <w:p>
      <w:pPr>
        <w:spacing w:after="80" w:before="220"/>
      </w:pPr>
      <w:r>
        <w:rPr>
          <w:rFonts w:ascii="Arial" w:cs="Arial" w:eastAsia="Arial" w:hAnsi="Arial"/>
          <w:b/>
          <w:bCs/>
          <w:color w:val="2E75B6"/>
          <w:sz w:val="24"/>
          <w:szCs w:val="24"/>
        </w:rPr>
        <w:t xml:space="preserve">2.4 BS 8878:2010 Web Accessibility Code of Practice</w:t>
      </w:r>
    </w:p>
    <w:p>
      <w:pPr>
        <w:spacing w:after="100" w:before="60"/>
      </w:pPr>
      <w:r>
        <w:rPr>
          <w:rFonts w:ascii="Arial" w:cs="Arial" w:eastAsia="Arial" w:hAnsi="Arial"/>
          <w:sz w:val="22"/>
          <w:szCs w:val="22"/>
        </w:rPr>
        <w:t xml:space="preserve">TLSPH also has regard to BS 8878:2010, the British Standard for web accessibility. This standard provides a process framework for organisations to develop and maintain accessible web products, complementing the technical requirements of WCAG 2.1.</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3. Compliance Status</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EF9F0" w:val="clear"/>
            <w:tcMar>
              <w:top w:type="dxa" w:w="120"/>
              <w:left w:type="dxa" w:w="200"/>
              <w:bottom w:type="dxa" w:w="120"/>
              <w:right w:type="dxa" w:w="200"/>
            </w:tcMar>
          </w:tcPr>
          <w:p>
            <w:pPr>
              <w:spacing w:after="60" w:before="0"/>
            </w:pPr>
            <w:r>
              <w:rPr>
                <w:rFonts w:ascii="Arial" w:cs="Arial" w:eastAsia="Arial" w:hAnsi="Arial"/>
                <w:b/>
                <w:bCs/>
                <w:color w:val="D4720A"/>
                <w:sz w:val="21"/>
                <w:szCs w:val="21"/>
              </w:rPr>
              <w:t xml:space="preserve">Current Compliance Level</w:t>
            </w:r>
          </w:p>
          <w:p>
            <w:pPr>
              <w:spacing w:after="10" w:before="10"/>
            </w:pPr>
            <w:r>
              <w:rPr>
                <w:rFonts w:ascii="Arial" w:cs="Arial" w:eastAsia="Arial" w:hAnsi="Arial"/>
                <w:sz w:val="20"/>
                <w:szCs w:val="20"/>
              </w:rPr>
              <w:t xml:space="preserve">This website is partially compliant with the Web Content Accessibility Guidelines (WCAG) version 2.1 at Level AA, due to the non-compliances and known issues listed below. TLSPH is actively working to address these issues and will update this statement as improvements are made.</w:t>
            </w:r>
          </w:p>
        </w:tc>
      </w:tr>
    </w:tbl>
    <w:p>
      <w:pPr>
        <w:spacing w:after="80" w:before="0"/>
      </w:pPr>
      <w:r>
        <w:t xml:space="preserve"/>
      </w:r>
    </w:p>
    <w:p>
      <w:pPr>
        <w:spacing w:after="100" w:before="60"/>
      </w:pPr>
      <w:r>
        <w:rPr>
          <w:rFonts w:ascii="Arial" w:cs="Arial" w:eastAsia="Arial" w:hAnsi="Arial"/>
          <w:sz w:val="22"/>
          <w:szCs w:val="22"/>
        </w:rPr>
        <w:t xml:space="preserve">The following table summarises the compliance status of key WCAG 2.1 Level AA success criteria as assessed during our most recent accessibility review:</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1600"/>
        <w:gridCol w:w="4626"/>
      </w:tblGrid>
      <w:tr>
        <w:trPr>
          <w:tblHeader/>
        </w:trPr>
        <w:tc>
          <w:tcPr>
            <w:tcW w:type="dxa" w:w="28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WCAG 2.1 Success Criterion</w:t>
            </w:r>
          </w:p>
        </w:tc>
        <w:tc>
          <w:tcPr>
            <w:tcW w:type="dxa" w:w="16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Level</w:t>
            </w:r>
          </w:p>
        </w:tc>
        <w:tc>
          <w:tcPr>
            <w:tcW w:type="dxa" w:w="4626"/>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8"/>
                <w:szCs w:val="18"/>
              </w:rPr>
              <w:t xml:space="preserve">TLSPH Compliance Status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1.1.1 Non-text Content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w:t>
            </w:r>
          </w:p>
        </w:tc>
        <w:tc>
          <w:tcPr>
            <w:tcW w:type="dxa" w:w="46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Compliant — images include alt text throughout the site</w:t>
            </w:r>
          </w:p>
        </w:tc>
      </w:tr>
      <w:tr>
        <w:tc>
          <w:tcPr>
            <w:tcW w:type="dxa" w:w="28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1.3.1 Info and Relationships</w:t>
            </w:r>
          </w:p>
        </w:tc>
        <w:tc>
          <w:tcPr>
            <w:tcW w:type="dxa" w:w="16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A</w:t>
            </w:r>
          </w:p>
        </w:tc>
        <w:tc>
          <w:tcPr>
            <w:tcW w:type="dxa" w:w="46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Partially compliant — ongoing review of form markup</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1.4.3 Contrast (Minimum)</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AA</w:t>
            </w:r>
          </w:p>
        </w:tc>
        <w:tc>
          <w:tcPr>
            <w:tcW w:type="dxa" w:w="46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Compliant — colour contrast ratios meet 4.5:1 minimum</w:t>
            </w:r>
          </w:p>
        </w:tc>
      </w:tr>
      <w:tr>
        <w:tc>
          <w:tcPr>
            <w:tcW w:type="dxa" w:w="28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1.4.4 Resize Text</w:t>
            </w:r>
          </w:p>
        </w:tc>
        <w:tc>
          <w:tcPr>
            <w:tcW w:type="dxa" w:w="16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AA</w:t>
            </w:r>
          </w:p>
        </w:tc>
        <w:tc>
          <w:tcPr>
            <w:tcW w:type="dxa" w:w="46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Compliant — text resizes to 200% without loss of content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1.4.10 Reflow</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AA</w:t>
            </w:r>
          </w:p>
        </w:tc>
        <w:tc>
          <w:tcPr>
            <w:tcW w:type="dxa" w:w="46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Compliant — content reflows at 320px width</w:t>
            </w:r>
          </w:p>
        </w:tc>
      </w:tr>
      <w:tr>
        <w:tc>
          <w:tcPr>
            <w:tcW w:type="dxa" w:w="28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2.1.1 Keyboard</w:t>
            </w:r>
          </w:p>
        </w:tc>
        <w:tc>
          <w:tcPr>
            <w:tcW w:type="dxa" w:w="16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A</w:t>
            </w:r>
          </w:p>
        </w:tc>
        <w:tc>
          <w:tcPr>
            <w:tcW w:type="dxa" w:w="46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Partially compliant — some interactive elements under review</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2.4.1 Bypass Blocks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w:t>
            </w:r>
          </w:p>
        </w:tc>
        <w:tc>
          <w:tcPr>
            <w:tcW w:type="dxa" w:w="46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Partially compliant — skip navigation links being implemented</w:t>
            </w:r>
          </w:p>
        </w:tc>
      </w:tr>
      <w:tr>
        <w:tc>
          <w:tcPr>
            <w:tcW w:type="dxa" w:w="28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2.4.2 Page Titled</w:t>
            </w:r>
          </w:p>
        </w:tc>
        <w:tc>
          <w:tcPr>
            <w:tcW w:type="dxa" w:w="16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A</w:t>
            </w:r>
          </w:p>
        </w:tc>
        <w:tc>
          <w:tcPr>
            <w:tcW w:type="dxa" w:w="46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Compliant — all pages have descriptive titles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2.4.6 Headings and Labels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AA</w:t>
            </w:r>
          </w:p>
        </w:tc>
        <w:tc>
          <w:tcPr>
            <w:tcW w:type="dxa" w:w="46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Compliant — heading hierarchy used consistently</w:t>
            </w:r>
          </w:p>
        </w:tc>
      </w:tr>
      <w:tr>
        <w:tc>
          <w:tcPr>
            <w:tcW w:type="dxa" w:w="28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3.1.1 Language of Page</w:t>
            </w:r>
          </w:p>
        </w:tc>
        <w:tc>
          <w:tcPr>
            <w:tcW w:type="dxa" w:w="16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A</w:t>
            </w:r>
          </w:p>
        </w:tc>
        <w:tc>
          <w:tcPr>
            <w:tcW w:type="dxa" w:w="46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Compliant — lang attribute set to 'en' throughout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3.3.1 Error Identification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w:t>
            </w:r>
          </w:p>
        </w:tc>
        <w:tc>
          <w:tcPr>
            <w:tcW w:type="dxa" w:w="46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Partially compliant — form error handling under review</w:t>
            </w:r>
          </w:p>
        </w:tc>
      </w:tr>
      <w:tr>
        <w:tc>
          <w:tcPr>
            <w:tcW w:type="dxa" w:w="28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4.1.1 Parsing</w:t>
            </w:r>
          </w:p>
        </w:tc>
        <w:tc>
          <w:tcPr>
            <w:tcW w:type="dxa" w:w="1600"/>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A</w:t>
            </w:r>
          </w:p>
        </w:tc>
        <w:tc>
          <w:tcPr>
            <w:tcW w:type="dxa" w:w="4626"/>
            <w:tcBorders>
              <w:top w:val="single" w:color="CCCCCC" w:sz="1"/>
              <w:left w:val="single" w:color="CCCCCC" w:sz="1"/>
              <w:bottom w:val="single" w:color="CCCCCC" w:sz="1"/>
              <w:right w:val="single" w:color="CCCCCC" w:sz="1"/>
            </w:tcBorders>
            <w:shd w:fill="F0F5FA" w:val="clear"/>
            <w:tcMar>
              <w:top w:type="dxa" w:w="80"/>
              <w:left w:type="dxa" w:w="100"/>
              <w:bottom w:type="dxa" w:w="80"/>
              <w:right w:type="dxa" w:w="100"/>
            </w:tcMar>
          </w:tcPr>
          <w:p>
            <w:r>
              <w:rPr>
                <w:rFonts w:ascii="Arial" w:cs="Arial" w:eastAsia="Arial" w:hAnsi="Arial"/>
                <w:sz w:val="18"/>
                <w:szCs w:val="18"/>
              </w:rPr>
              <w:t xml:space="preserve">Compliant — HTML validated against W3C standards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4.1.2 Name, Role, Value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A</w:t>
            </w:r>
          </w:p>
        </w:tc>
        <w:tc>
          <w:tcPr>
            <w:tcW w:type="dxa" w:w="46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sz w:val="18"/>
                <w:szCs w:val="18"/>
              </w:rPr>
              <w:t xml:space="preserve">Partially compliant — ARIA labels being reviewed</w:t>
            </w:r>
          </w:p>
        </w:tc>
      </w:tr>
    </w:tbl>
    <w:p>
      <w:pPr>
        <w:spacing w:after="80" w:before="0"/>
      </w:pPr>
      <w:r>
        <w:t xml:space="preserve"/>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4. Known Accessibility Issues</w:t>
      </w:r>
    </w:p>
    <w:p>
      <w:pPr>
        <w:spacing w:after="100" w:before="60"/>
      </w:pPr>
      <w:r>
        <w:rPr>
          <w:rFonts w:ascii="Arial" w:cs="Arial" w:eastAsia="Arial" w:hAnsi="Arial"/>
          <w:sz w:val="22"/>
          <w:szCs w:val="22"/>
        </w:rPr>
        <w:t xml:space="preserve">We know that some parts of our website and learning platforms are not fully accessible. The following known issues have been identified and are being addressed:</w:t>
      </w:r>
    </w:p>
    <w:p>
      <w:pPr>
        <w:spacing w:after="80" w:before="220"/>
      </w:pPr>
      <w:r>
        <w:rPr>
          <w:rFonts w:ascii="Arial" w:cs="Arial" w:eastAsia="Arial" w:hAnsi="Arial"/>
          <w:b/>
          <w:bCs/>
          <w:color w:val="2E75B6"/>
          <w:sz w:val="24"/>
          <w:szCs w:val="24"/>
        </w:rPr>
        <w:t xml:space="preserve">4.1 Website (www.thelondonschoolofpublichealth.com)</w:t>
      </w:r>
    </w:p>
    <w:p>
      <w:pPr>
        <w:pStyle w:val="ListParagraph"/>
        <w:numPr>
          <w:ilvl w:val="0"/>
          <w:numId w:val="2"/>
        </w:numPr>
        <w:spacing w:after="40" w:before="40"/>
      </w:pPr>
      <w:r>
        <w:rPr>
          <w:rFonts w:ascii="Arial" w:cs="Arial" w:eastAsia="Arial" w:hAnsi="Arial"/>
          <w:sz w:val="22"/>
          <w:szCs w:val="22"/>
        </w:rPr>
        <w:t xml:space="preserve">Some older PDF documents may not be fully accessible to screen readers — we are working to remediate these progressively</w:t>
      </w:r>
    </w:p>
    <w:p>
      <w:pPr>
        <w:pStyle w:val="ListParagraph"/>
        <w:numPr>
          <w:ilvl w:val="0"/>
          <w:numId w:val="2"/>
        </w:numPr>
        <w:spacing w:after="40" w:before="40"/>
      </w:pPr>
      <w:r>
        <w:rPr>
          <w:rFonts w:ascii="Arial" w:cs="Arial" w:eastAsia="Arial" w:hAnsi="Arial"/>
          <w:sz w:val="22"/>
          <w:szCs w:val="22"/>
        </w:rPr>
        <w:t xml:space="preserve">Some form fields on the contact and enrolment pages may lack full ARIA labelling — this is under active remediation</w:t>
      </w:r>
    </w:p>
    <w:p>
      <w:pPr>
        <w:pStyle w:val="ListParagraph"/>
        <w:numPr>
          <w:ilvl w:val="0"/>
          <w:numId w:val="2"/>
        </w:numPr>
        <w:spacing w:after="40" w:before="40"/>
      </w:pPr>
      <w:r>
        <w:rPr>
          <w:rFonts w:ascii="Arial" w:cs="Arial" w:eastAsia="Arial" w:hAnsi="Arial"/>
          <w:sz w:val="22"/>
          <w:szCs w:val="22"/>
        </w:rPr>
        <w:t xml:space="preserve">Skip navigation links are being implemented to improve keyboard-only navigation</w:t>
      </w:r>
    </w:p>
    <w:p>
      <w:pPr>
        <w:pStyle w:val="ListParagraph"/>
        <w:numPr>
          <w:ilvl w:val="0"/>
          <w:numId w:val="2"/>
        </w:numPr>
        <w:spacing w:after="40" w:before="40"/>
      </w:pPr>
      <w:r>
        <w:rPr>
          <w:rFonts w:ascii="Arial" w:cs="Arial" w:eastAsia="Arial" w:hAnsi="Arial"/>
          <w:sz w:val="22"/>
          <w:szCs w:val="22"/>
        </w:rPr>
        <w:t xml:space="preserve">Some embedded video content may lack full captions or audio descriptions — we are reviewing this</w:t>
      </w:r>
    </w:p>
    <w:p>
      <w:pPr>
        <w:pStyle w:val="ListParagraph"/>
        <w:numPr>
          <w:ilvl w:val="0"/>
          <w:numId w:val="2"/>
        </w:numPr>
        <w:spacing w:after="40" w:before="40"/>
      </w:pPr>
      <w:r>
        <w:rPr>
          <w:rFonts w:ascii="Arial" w:cs="Arial" w:eastAsia="Arial" w:hAnsi="Arial"/>
          <w:sz w:val="22"/>
          <w:szCs w:val="22"/>
        </w:rPr>
        <w:t xml:space="preserve">Some third-party content embedded in our site (e.g. social media widgets) may not meet WCAG 2.1 AA — we have limited control over third-party content</w:t>
      </w:r>
    </w:p>
    <w:p>
      <w:pPr>
        <w:spacing w:after="80" w:before="220"/>
      </w:pPr>
      <w:r>
        <w:rPr>
          <w:rFonts w:ascii="Arial" w:cs="Arial" w:eastAsia="Arial" w:hAnsi="Arial"/>
          <w:b/>
          <w:bCs/>
          <w:color w:val="2E75B6"/>
          <w:sz w:val="24"/>
          <w:szCs w:val="24"/>
        </w:rPr>
        <w:t xml:space="preserve">4.2 Online Learning Platform</w:t>
      </w:r>
    </w:p>
    <w:p>
      <w:pPr>
        <w:pStyle w:val="ListParagraph"/>
        <w:numPr>
          <w:ilvl w:val="0"/>
          <w:numId w:val="2"/>
        </w:numPr>
        <w:spacing w:after="40" w:before="40"/>
      </w:pPr>
      <w:r>
        <w:rPr>
          <w:rFonts w:ascii="Arial" w:cs="Arial" w:eastAsia="Arial" w:hAnsi="Arial"/>
          <w:sz w:val="22"/>
          <w:szCs w:val="22"/>
        </w:rPr>
        <w:t xml:space="preserve">The learning management system (LMS) used to deliver TLSPH courses is provided by a third-party platform — we have raised accessibility requirements with our platform provider and are monitoring their compliance roadmap</w:t>
      </w:r>
    </w:p>
    <w:p>
      <w:pPr>
        <w:pStyle w:val="ListParagraph"/>
        <w:numPr>
          <w:ilvl w:val="0"/>
          <w:numId w:val="2"/>
        </w:numPr>
        <w:spacing w:after="40" w:before="40"/>
      </w:pPr>
      <w:r>
        <w:rPr>
          <w:rFonts w:ascii="Arial" w:cs="Arial" w:eastAsia="Arial" w:hAnsi="Arial"/>
          <w:sz w:val="22"/>
          <w:szCs w:val="22"/>
        </w:rPr>
        <w:t xml:space="preserve">Students who require an accessible alternative format for learning materials can request one from the Senior Leadership Team</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5. What We Are Doing to Improve Accessibility</w:t>
      </w:r>
    </w:p>
    <w:p>
      <w:pPr>
        <w:spacing w:after="100" w:before="60"/>
      </w:pPr>
      <w:r>
        <w:rPr>
          <w:rFonts w:ascii="Arial" w:cs="Arial" w:eastAsia="Arial" w:hAnsi="Arial"/>
          <w:sz w:val="22"/>
          <w:szCs w:val="22"/>
        </w:rPr>
        <w:t xml:space="preserve">TLSPH is committed to continuous improvement of the accessibility of our digital services. Our current improvement plan includes:</w:t>
      </w:r>
    </w:p>
    <w:p>
      <w:pPr>
        <w:pStyle w:val="ListParagraph"/>
        <w:numPr>
          <w:ilvl w:val="0"/>
          <w:numId w:val="2"/>
        </w:numPr>
        <w:spacing w:after="40" w:before="40"/>
      </w:pPr>
      <w:r>
        <w:rPr>
          <w:rFonts w:ascii="Arial" w:cs="Arial" w:eastAsia="Arial" w:hAnsi="Arial"/>
          <w:sz w:val="22"/>
          <w:szCs w:val="22"/>
        </w:rPr>
        <w:t xml:space="preserve">Commissioning a full WCAG 2.1 AA audit of the TLSPH website by August 2026</w:t>
      </w:r>
    </w:p>
    <w:p>
      <w:pPr>
        <w:pStyle w:val="ListParagraph"/>
        <w:numPr>
          <w:ilvl w:val="0"/>
          <w:numId w:val="2"/>
        </w:numPr>
        <w:spacing w:after="40" w:before="40"/>
      </w:pPr>
      <w:r>
        <w:rPr>
          <w:rFonts w:ascii="Arial" w:cs="Arial" w:eastAsia="Arial" w:hAnsi="Arial"/>
          <w:sz w:val="22"/>
          <w:szCs w:val="22"/>
        </w:rPr>
        <w:t xml:space="preserve">Remediating all identified Level A and Level AA failures within 3 months of the audit report</w:t>
      </w:r>
    </w:p>
    <w:p>
      <w:pPr>
        <w:pStyle w:val="ListParagraph"/>
        <w:numPr>
          <w:ilvl w:val="0"/>
          <w:numId w:val="2"/>
        </w:numPr>
        <w:spacing w:after="40" w:before="40"/>
      </w:pPr>
      <w:r>
        <w:rPr>
          <w:rFonts w:ascii="Arial" w:cs="Arial" w:eastAsia="Arial" w:hAnsi="Arial"/>
          <w:sz w:val="22"/>
          <w:szCs w:val="22"/>
        </w:rPr>
        <w:t xml:space="preserve">Implementing skip navigation links and improving ARIA labelling across all interactive elements</w:t>
      </w:r>
    </w:p>
    <w:p>
      <w:pPr>
        <w:pStyle w:val="ListParagraph"/>
        <w:numPr>
          <w:ilvl w:val="0"/>
          <w:numId w:val="2"/>
        </w:numPr>
        <w:spacing w:after="40" w:before="40"/>
      </w:pPr>
      <w:r>
        <w:rPr>
          <w:rFonts w:ascii="Arial" w:cs="Arial" w:eastAsia="Arial" w:hAnsi="Arial"/>
          <w:sz w:val="22"/>
          <w:szCs w:val="22"/>
        </w:rPr>
        <w:t xml:space="preserve">Ensuring all new PDF documents are created in accessible format from the point of production</w:t>
      </w:r>
    </w:p>
    <w:p>
      <w:pPr>
        <w:pStyle w:val="ListParagraph"/>
        <w:numPr>
          <w:ilvl w:val="0"/>
          <w:numId w:val="2"/>
        </w:numPr>
        <w:spacing w:after="40" w:before="40"/>
      </w:pPr>
      <w:r>
        <w:rPr>
          <w:rFonts w:ascii="Arial" w:cs="Arial" w:eastAsia="Arial" w:hAnsi="Arial"/>
          <w:sz w:val="22"/>
          <w:szCs w:val="22"/>
        </w:rPr>
        <w:t xml:space="preserve">Reviewing all embedded video content and adding captions and audio descriptions where absent</w:t>
      </w:r>
    </w:p>
    <w:p>
      <w:pPr>
        <w:pStyle w:val="ListParagraph"/>
        <w:numPr>
          <w:ilvl w:val="0"/>
          <w:numId w:val="2"/>
        </w:numPr>
        <w:spacing w:after="40" w:before="40"/>
      </w:pPr>
      <w:r>
        <w:rPr>
          <w:rFonts w:ascii="Arial" w:cs="Arial" w:eastAsia="Arial" w:hAnsi="Arial"/>
          <w:sz w:val="22"/>
          <w:szCs w:val="22"/>
        </w:rPr>
        <w:t xml:space="preserve">Providing staff responsible for website content with accessibility awareness training</w:t>
      </w:r>
    </w:p>
    <w:p>
      <w:pPr>
        <w:pStyle w:val="ListParagraph"/>
        <w:numPr>
          <w:ilvl w:val="0"/>
          <w:numId w:val="2"/>
        </w:numPr>
        <w:spacing w:after="40" w:before="40"/>
      </w:pPr>
      <w:r>
        <w:rPr>
          <w:rFonts w:ascii="Arial" w:cs="Arial" w:eastAsia="Arial" w:hAnsi="Arial"/>
          <w:sz w:val="22"/>
          <w:szCs w:val="22"/>
        </w:rPr>
        <w:t xml:space="preserve">Including accessibility requirements in all procurement decisions for new digital tools and platforms</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6. Requesting Accessible Formats and Reasonable Adjustments</w:t>
      </w:r>
    </w:p>
    <w:p>
      <w:pPr>
        <w:spacing w:after="100" w:before="60"/>
      </w:pPr>
      <w:r>
        <w:rPr>
          <w:rFonts w:ascii="Arial" w:cs="Arial" w:eastAsia="Arial" w:hAnsi="Arial"/>
          <w:sz w:val="22"/>
          <w:szCs w:val="22"/>
        </w:rPr>
        <w:t xml:space="preserve">If you need information on this website in a different format — such as accessible PDF, large print, easy read, audio recording, or braille — please contact us using the details in Section 8.</w:t>
      </w:r>
    </w:p>
    <w:p>
      <w:pPr>
        <w:spacing w:after="100" w:before="60"/>
      </w:pPr>
      <w:r>
        <w:rPr>
          <w:rFonts w:ascii="Arial" w:cs="Arial" w:eastAsia="Arial" w:hAnsi="Arial"/>
          <w:sz w:val="22"/>
          <w:szCs w:val="22"/>
        </w:rPr>
        <w:t xml:space="preserve">We will consider your request and respond within 10 working days. Where we are unable to make the information accessible, we will explain why and suggest alternatives.</w:t>
      </w:r>
    </w:p>
    <w:p>
      <w:pPr>
        <w:spacing w:after="100" w:before="60"/>
      </w:pPr>
      <w:r>
        <w:rPr>
          <w:rFonts w:ascii="Arial" w:cs="Arial" w:eastAsia="Arial" w:hAnsi="Arial"/>
          <w:sz w:val="22"/>
          <w:szCs w:val="22"/>
        </w:rPr>
        <w:t xml:space="preserve">If you are a student enrolled on a TLSPH programme and require a reasonable adjustment to your learning or assessment arrangements on grounds of disability, please contact the Senior Leadership Team. Requests will be handled in accordance with section 20 of the Equality Act 2010 and, where applicable, Ofqual's requirements for reasonable adjustments in assessment.</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7. Reporting Accessibility Problems</w:t>
      </w:r>
    </w:p>
    <w:p>
      <w:pPr>
        <w:spacing w:after="100" w:before="60"/>
      </w:pPr>
      <w:r>
        <w:rPr>
          <w:rFonts w:ascii="Arial" w:cs="Arial" w:eastAsia="Arial" w:hAnsi="Arial"/>
          <w:sz w:val="22"/>
          <w:szCs w:val="22"/>
        </w:rPr>
        <w:t xml:space="preserve">We welcome feedback on the accessibility of our website and digital platforms. If you experience an accessibility barrier that is not listed above, or if you find that a barrier has not been adequately addressed, please let us know:</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Email</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info@thelondonschoolofpublichealth.com (subject: Accessibility Feedback)</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Website</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www.thelondonschoolofpublichealth.com/contact-us</w:t>
            </w:r>
          </w:p>
        </w:tc>
      </w:tr>
    </w:tbl>
    <w:p>
      <w:pPr>
        <w:spacing w:after="80" w:before="0"/>
      </w:pPr>
      <w:r>
        <w:t xml:space="preserve"/>
      </w:r>
    </w:p>
    <w:p>
      <w:pPr>
        <w:spacing w:after="100" w:before="60"/>
      </w:pPr>
      <w:r>
        <w:rPr>
          <w:rFonts w:ascii="Arial" w:cs="Arial" w:eastAsia="Arial" w:hAnsi="Arial"/>
          <w:sz w:val="22"/>
          <w:szCs w:val="22"/>
        </w:rPr>
        <w:t xml:space="preserve">We will acknowledge your feedback within 5 working days and aim to resolve the issue, or provide a suitable alternative, within 20 working days.</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8. Enforcement and Escalation</w:t>
      </w:r>
    </w:p>
    <w:p>
      <w:pPr>
        <w:spacing w:after="100" w:before="60"/>
      </w:pPr>
      <w:r>
        <w:rPr>
          <w:rFonts w:ascii="Arial" w:cs="Arial" w:eastAsia="Arial" w:hAnsi="Arial"/>
          <w:sz w:val="22"/>
          <w:szCs w:val="22"/>
        </w:rPr>
        <w:t xml:space="preserve">If you are not satisfied with our response to an accessibility concern, you may contact the Equality Advisory and Support Service (EASS), which provides free advice and support on the Equality Act 2010:</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EASS Helpline</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0808 800 0082 (Monday to Friday, 9am–7pm; Saturday, 10am–2pm)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EASS Website</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www.equalityadvisoryservice.com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Textphone</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0808 800 0084</w:t>
            </w:r>
          </w:p>
        </w:tc>
      </w:tr>
    </w:tbl>
    <w:p>
      <w:pPr>
        <w:spacing w:after="80" w:before="0"/>
      </w:pPr>
      <w:r>
        <w:t xml:space="preserve"/>
      </w:r>
    </w:p>
    <w:p>
      <w:pPr>
        <w:spacing w:after="100" w:before="60"/>
      </w:pPr>
      <w:r>
        <w:rPr>
          <w:rFonts w:ascii="Arial" w:cs="Arial" w:eastAsia="Arial" w:hAnsi="Arial"/>
          <w:sz w:val="22"/>
          <w:szCs w:val="22"/>
        </w:rPr>
        <w:t xml:space="preserve">If you believe TLSPH has failed to meet its obligations under the Equality Act 2010, you may also be entitled to bring a claim under that Act. The Equality and Human Rights Commission (EHRC) provides guidance on enforcement: www.equalityhumanrights.com.</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9. Technical Specification</w:t>
      </w:r>
    </w:p>
    <w:p>
      <w:pPr>
        <w:spacing w:after="100" w:before="60"/>
      </w:pPr>
      <w:r>
        <w:rPr>
          <w:rFonts w:ascii="Arial" w:cs="Arial" w:eastAsia="Arial" w:hAnsi="Arial"/>
          <w:sz w:val="22"/>
          <w:szCs w:val="22"/>
        </w:rPr>
        <w:t xml:space="preserve">This website relies on the following technologies for conformance with WCAG 2.1:</w:t>
      </w:r>
    </w:p>
    <w:p>
      <w:pPr>
        <w:pStyle w:val="ListParagraph"/>
        <w:numPr>
          <w:ilvl w:val="0"/>
          <w:numId w:val="2"/>
        </w:numPr>
        <w:spacing w:after="40" w:before="40"/>
      </w:pPr>
      <w:r>
        <w:rPr>
          <w:rFonts w:ascii="Arial" w:cs="Arial" w:eastAsia="Arial" w:hAnsi="Arial"/>
          <w:sz w:val="22"/>
          <w:szCs w:val="22"/>
        </w:rPr>
        <w:t xml:space="preserve">HTML5</w:t>
      </w:r>
    </w:p>
    <w:p>
      <w:pPr>
        <w:pStyle w:val="ListParagraph"/>
        <w:numPr>
          <w:ilvl w:val="0"/>
          <w:numId w:val="2"/>
        </w:numPr>
        <w:spacing w:after="40" w:before="40"/>
      </w:pPr>
      <w:r>
        <w:rPr>
          <w:rFonts w:ascii="Arial" w:cs="Arial" w:eastAsia="Arial" w:hAnsi="Arial"/>
          <w:sz w:val="22"/>
          <w:szCs w:val="22"/>
        </w:rPr>
        <w:t xml:space="preserve">CSS3</w:t>
      </w:r>
    </w:p>
    <w:p>
      <w:pPr>
        <w:pStyle w:val="ListParagraph"/>
        <w:numPr>
          <w:ilvl w:val="0"/>
          <w:numId w:val="2"/>
        </w:numPr>
        <w:spacing w:after="40" w:before="40"/>
      </w:pPr>
      <w:r>
        <w:rPr>
          <w:rFonts w:ascii="Arial" w:cs="Arial" w:eastAsia="Arial" w:hAnsi="Arial"/>
          <w:sz w:val="22"/>
          <w:szCs w:val="22"/>
        </w:rPr>
        <w:t xml:space="preserve">JavaScript</w:t>
      </w:r>
    </w:p>
    <w:p>
      <w:pPr>
        <w:pStyle w:val="ListParagraph"/>
        <w:numPr>
          <w:ilvl w:val="0"/>
          <w:numId w:val="2"/>
        </w:numPr>
        <w:spacing w:after="40" w:before="40"/>
      </w:pPr>
      <w:r>
        <w:rPr>
          <w:rFonts w:ascii="Arial" w:cs="Arial" w:eastAsia="Arial" w:hAnsi="Arial"/>
          <w:sz w:val="22"/>
          <w:szCs w:val="22"/>
        </w:rPr>
        <w:t xml:space="preserve">WAI-ARIA (Web Accessibility Initiative — Accessible Rich Internet Applications)</w:t>
      </w:r>
    </w:p>
    <w:p>
      <w:pPr>
        <w:spacing w:after="80" w:before="0"/>
      </w:pPr>
      <w:r>
        <w:t xml:space="preserve"/>
      </w:r>
    </w:p>
    <w:p>
      <w:pPr>
        <w:spacing w:after="100" w:before="60"/>
      </w:pPr>
      <w:r>
        <w:rPr>
          <w:rFonts w:ascii="Arial" w:cs="Arial" w:eastAsia="Arial" w:hAnsi="Arial"/>
          <w:sz w:val="22"/>
          <w:szCs w:val="22"/>
        </w:rPr>
        <w:t xml:space="preserve">The website has been tested for accessibility using the following tools and methods:</w:t>
      </w:r>
    </w:p>
    <w:p>
      <w:pPr>
        <w:pStyle w:val="ListParagraph"/>
        <w:numPr>
          <w:ilvl w:val="0"/>
          <w:numId w:val="2"/>
        </w:numPr>
        <w:spacing w:after="40" w:before="40"/>
      </w:pPr>
      <w:r>
        <w:rPr>
          <w:rFonts w:ascii="Arial" w:cs="Arial" w:eastAsia="Arial" w:hAnsi="Arial"/>
          <w:sz w:val="22"/>
          <w:szCs w:val="22"/>
        </w:rPr>
        <w:t xml:space="preserve">WAVE Web Accessibility Evaluation Tool (wave.webaim.org)</w:t>
      </w:r>
    </w:p>
    <w:p>
      <w:pPr>
        <w:pStyle w:val="ListParagraph"/>
        <w:numPr>
          <w:ilvl w:val="0"/>
          <w:numId w:val="2"/>
        </w:numPr>
        <w:spacing w:after="40" w:before="40"/>
      </w:pPr>
      <w:r>
        <w:rPr>
          <w:rFonts w:ascii="Arial" w:cs="Arial" w:eastAsia="Arial" w:hAnsi="Arial"/>
          <w:sz w:val="22"/>
          <w:szCs w:val="22"/>
        </w:rPr>
        <w:t xml:space="preserve">Google Lighthouse accessibility audit</w:t>
      </w:r>
    </w:p>
    <w:p>
      <w:pPr>
        <w:pStyle w:val="ListParagraph"/>
        <w:numPr>
          <w:ilvl w:val="0"/>
          <w:numId w:val="2"/>
        </w:numPr>
        <w:spacing w:after="40" w:before="40"/>
      </w:pPr>
      <w:r>
        <w:rPr>
          <w:rFonts w:ascii="Arial" w:cs="Arial" w:eastAsia="Arial" w:hAnsi="Arial"/>
          <w:sz w:val="22"/>
          <w:szCs w:val="22"/>
        </w:rPr>
        <w:t xml:space="preserve">Manual keyboard navigation testing</w:t>
      </w:r>
    </w:p>
    <w:p>
      <w:pPr>
        <w:pStyle w:val="ListParagraph"/>
        <w:numPr>
          <w:ilvl w:val="0"/>
          <w:numId w:val="2"/>
        </w:numPr>
        <w:spacing w:after="40" w:before="40"/>
      </w:pPr>
      <w:r>
        <w:rPr>
          <w:rFonts w:ascii="Arial" w:cs="Arial" w:eastAsia="Arial" w:hAnsi="Arial"/>
          <w:sz w:val="22"/>
          <w:szCs w:val="22"/>
        </w:rPr>
        <w:t xml:space="preserve">Screen reader testing using NVDA (Windows) and VoiceOver (macOS/iOS)</w:t>
      </w:r>
    </w:p>
    <w:p>
      <w:pPr>
        <w:pStyle w:val="ListParagraph"/>
        <w:numPr>
          <w:ilvl w:val="0"/>
          <w:numId w:val="2"/>
        </w:numPr>
        <w:spacing w:after="40" w:before="40"/>
      </w:pPr>
      <w:r>
        <w:rPr>
          <w:rFonts w:ascii="Arial" w:cs="Arial" w:eastAsia="Arial" w:hAnsi="Arial"/>
          <w:sz w:val="22"/>
          <w:szCs w:val="22"/>
        </w:rPr>
        <w:t xml:space="preserve">Colour contrast analysis using the WebAIM Contrast Checker</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10. Related Policies</w:t>
      </w:r>
    </w:p>
    <w:p>
      <w:pPr>
        <w:pStyle w:val="ListParagraph"/>
        <w:numPr>
          <w:ilvl w:val="0"/>
          <w:numId w:val="2"/>
        </w:numPr>
        <w:spacing w:after="40" w:before="40"/>
      </w:pPr>
      <w:r>
        <w:rPr>
          <w:rFonts w:ascii="Arial" w:cs="Arial" w:eastAsia="Arial" w:hAnsi="Arial"/>
          <w:sz w:val="22"/>
          <w:szCs w:val="22"/>
        </w:rPr>
        <w:t xml:space="preserve">Equality, Diversity &amp; Inclusion Policy (TLSPH-POL-005)</w:t>
      </w:r>
    </w:p>
    <w:p>
      <w:pPr>
        <w:pStyle w:val="ListParagraph"/>
        <w:numPr>
          <w:ilvl w:val="0"/>
          <w:numId w:val="2"/>
        </w:numPr>
        <w:spacing w:after="40" w:before="40"/>
      </w:pPr>
      <w:r>
        <w:rPr>
          <w:rFonts w:ascii="Arial" w:cs="Arial" w:eastAsia="Arial" w:hAnsi="Arial"/>
          <w:sz w:val="22"/>
          <w:szCs w:val="22"/>
        </w:rPr>
        <w:t xml:space="preserve">Student Complaints &amp; Appeals Policy (TLSPH-POL-004)</w:t>
      </w:r>
    </w:p>
    <w:p>
      <w:pPr>
        <w:pStyle w:val="ListParagraph"/>
        <w:numPr>
          <w:ilvl w:val="0"/>
          <w:numId w:val="2"/>
        </w:numPr>
        <w:spacing w:after="40" w:before="40"/>
      </w:pPr>
      <w:r>
        <w:rPr>
          <w:rFonts w:ascii="Arial" w:cs="Arial" w:eastAsia="Arial" w:hAnsi="Arial"/>
          <w:sz w:val="22"/>
          <w:szCs w:val="22"/>
        </w:rPr>
        <w:t xml:space="preserve">Student Wellbeing &amp; Support Policy</w:t>
      </w:r>
    </w:p>
    <w:p>
      <w:pPr>
        <w:pStyle w:val="ListParagraph"/>
        <w:numPr>
          <w:ilvl w:val="0"/>
          <w:numId w:val="2"/>
        </w:numPr>
        <w:spacing w:after="40" w:before="40"/>
      </w:pPr>
      <w:r>
        <w:rPr>
          <w:rFonts w:ascii="Arial" w:cs="Arial" w:eastAsia="Arial" w:hAnsi="Arial"/>
          <w:sz w:val="22"/>
          <w:szCs w:val="22"/>
        </w:rPr>
        <w:t xml:space="preserve">Data Protection Policy (UK GDPR)</w:t>
      </w:r>
    </w:p>
    <w:p>
      <w:pPr>
        <w:spacing w:after="80" w:before="0"/>
      </w:pPr>
      <w:r>
        <w:t xml:space="preserve"/>
      </w:r>
    </w:p>
    <w:p>
      <w:pPr>
        <w:pBdr>
          <w:bottom w:val="single" w:color="2E75B6" w:sz="6" w:space="4"/>
        </w:pBdr>
        <w:spacing w:after="120" w:before="320"/>
      </w:pPr>
      <w:r>
        <w:rPr>
          <w:rFonts w:ascii="Arial" w:cs="Arial" w:eastAsia="Arial" w:hAnsi="Arial"/>
          <w:b/>
          <w:bCs/>
          <w:color w:val="1B3A6B"/>
          <w:sz w:val="28"/>
          <w:szCs w:val="28"/>
        </w:rPr>
        <w:t xml:space="preserve">11. Contact</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Accessibility Enquiries</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info@thelondonschoolofpublichealth.com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Website</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www.thelondonschoolofpublichealth.com</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EASS</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www.equalityadvisoryservice.com  |  0808 800 0082</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EHRC</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www.equalityhumanrights.com  |  0808 800 0082</w:t>
            </w:r>
          </w:p>
        </w:tc>
      </w:tr>
    </w:tbl>
    <w:p>
      <w:pPr>
        <w:spacing w:after="4" w:before="4"/>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6326"/>
      </w:tblGrid>
      <w:tr>
        <w:tc>
          <w:tcPr>
            <w:tcW w:type="dxa" w:w="27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B3A6B"/>
                <w:sz w:val="20"/>
                <w:szCs w:val="20"/>
              </w:rPr>
              <w:t xml:space="preserve">AbilityNet</w:t>
            </w:r>
          </w:p>
        </w:tc>
        <w:tc>
          <w:tcPr>
            <w:tcW w:type="dxa" w:w="6326"/>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sz w:val="20"/>
                <w:szCs w:val="20"/>
              </w:rPr>
              <w:t xml:space="preserve">mcmw.abilitynet.org.uk</w:t>
            </w:r>
          </w:p>
        </w:tc>
      </w:tr>
    </w:tbl>
    <w:p>
      <w:pPr>
        <w:spacing w:after="80" w:before="0"/>
      </w:pPr>
      <w:r>
        <w:t xml:space="preserve"/>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D6E4F0" w:val="clear"/>
            <w:tcMar>
              <w:top w:type="dxa" w:w="120"/>
              <w:left w:type="dxa" w:w="200"/>
              <w:bottom w:type="dxa" w:w="120"/>
              <w:right w:type="dxa" w:w="200"/>
            </w:tcMar>
          </w:tcPr>
          <w:p>
            <w:pPr>
              <w:spacing w:after="40" w:before="40"/>
            </w:pPr>
            <w:r>
              <w:rPr>
                <w:rFonts w:ascii="Arial" w:cs="Arial" w:eastAsia="Arial" w:hAnsi="Arial"/>
                <w:b/>
                <w:bCs/>
                <w:color w:val="1B3A6B"/>
                <w:sz w:val="20"/>
                <w:szCs w:val="20"/>
              </w:rPr>
              <w:t xml:space="preserve">Statement Review</w:t>
            </w:r>
          </w:p>
          <w:p>
            <w:pPr>
              <w:spacing w:after="20" w:before="20"/>
            </w:pPr>
            <w:r>
              <w:rPr>
                <w:rFonts w:ascii="Arial" w:cs="Arial" w:eastAsia="Arial" w:hAnsi="Arial"/>
                <w:sz w:val="19"/>
                <w:szCs w:val="19"/>
              </w:rPr>
              <w:t xml:space="preserve">This Accessibility Statement is reviewed annually by the Senior Leadership Team and updated following any accessibility audit, significant changes to the website or learning platforms, or updates to UK legislation or WCAG standards. The statement will be updated to reflect progress on known issues and any newly identified barriers. Reviews are conducted in accordance with the Public Sector Bodies Accessibility Regulations 2018, the Equality Act 2010, and GDS accessibility guidance.</w:t>
            </w:r>
          </w:p>
          <w:p>
            <w:pPr>
              <w:spacing w:after="40" w:before="20"/>
            </w:pPr>
            <w:r>
              <w:rPr>
                <w:rFonts w:ascii="Arial" w:cs="Arial" w:eastAsia="Arial" w:hAnsi="Arial"/>
                <w:i/>
                <w:iCs/>
                <w:color w:val="555555"/>
                <w:sz w:val="19"/>
                <w:szCs w:val="19"/>
              </w:rPr>
              <w:t xml:space="preserve">Last Reviewed: August 2025   |   Next Review Due: August 2026   |   Version: 1.0</w:t>
            </w:r>
          </w:p>
        </w:tc>
      </w:tr>
    </w:tbl>
    <w:sectPr>
      <w:headerReference w:type="default" r:id="rId7"/>
      <w:footerReference w:type="default" r:id="rId8"/>
      <w:pgSz w:w="11906" w:h="16838" w:orient="portrait"/>
      <w:pgMar w:top="10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spacing w:before="80"/>
    </w:pPr>
    <w:r>
      <w:rPr>
        <w:rFonts w:ascii="Arial" w:cs="Arial" w:eastAsia="Arial" w:hAnsi="Arial"/>
        <w:color w:val="888888"/>
        <w:sz w:val="16"/>
        <w:szCs w:val="16"/>
      </w:rPr>
      <w:t xml:space="preserve">Accessibility Statement  |  TLSPH LTD  |  www.thelondonschoolofpublichealth.com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6"/>
      </w:pBdr>
      <w:spacing w:after="0"/>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 cy="762000"/>
                  </a:xfrm>
                  <a:prstGeom prst="rect">
                    <a:avLst/>
                  </a:prstGeom>
                </pic:spPr>
              </pic:pic>
            </a:graphicData>
          </a:graphic>
        </wp:inline>
      </w:drawing>
    </w:r>
    <w:r>
      <w:rPr>
        <w:rFonts w:ascii="Arial" w:cs="Arial" w:eastAsia="Arial" w:hAnsi="Arial"/>
        <w:b/>
        <w:bCs/>
        <w:color w:val="1B3A6B"/>
        <w:sz w:val="26"/>
        <w:szCs w:val="26"/>
      </w:rPr>
      <w:t xml:space="preserve">   The London School of Public Health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ebd6c7edc75df80b4fa770f3527f7c6290e278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2026-05-11T15:29:56.653Z</dcterms:created>
  <dcterms:modified xsi:type="dcterms:W3CDTF">2026-05-11T15:29:56.655Z</dcterms:modified>
</cp:coreProperties>
</file>

<file path=docProps/custom.xml><?xml version="1.0" encoding="utf-8"?>
<Properties xmlns="http://schemas.openxmlformats.org/officeDocument/2006/custom-properties" xmlns:vt="http://schemas.openxmlformats.org/officeDocument/2006/docPropsVTypes"/>
</file>