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1913" w14:textId="77777777" w:rsidR="00185837" w:rsidRDefault="00185837">
      <w:pPr>
        <w:spacing w:after="80"/>
      </w:pPr>
    </w:p>
    <w:p w14:paraId="5F9BD8C0" w14:textId="77777777" w:rsidR="00185837" w:rsidRDefault="00000000">
      <w:pPr>
        <w:spacing w:before="80" w:after="40"/>
      </w:pPr>
      <w:r>
        <w:rPr>
          <w:b/>
          <w:bCs/>
          <w:color w:val="1B3A6B"/>
          <w:sz w:val="46"/>
          <w:szCs w:val="46"/>
        </w:rPr>
        <w:t>Anti-Bribery &amp; Corruption Policy</w:t>
      </w:r>
    </w:p>
    <w:p w14:paraId="78D7187C" w14:textId="77777777" w:rsidR="00185837" w:rsidRDefault="00000000">
      <w:pPr>
        <w:pBdr>
          <w:bottom w:val="single" w:sz="8" w:space="4" w:color="2E75B6"/>
        </w:pBdr>
        <w:spacing w:after="200"/>
      </w:pPr>
      <w:r>
        <w:rPr>
          <w:color w:val="555555"/>
        </w:rPr>
        <w:t>TLSPH LTD  |  The London School of Public Health</w:t>
      </w:r>
    </w:p>
    <w:p w14:paraId="6ED34BF9" w14:textId="77777777" w:rsidR="00185837" w:rsidRDefault="0018583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64E61E0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168445" w14:textId="77777777" w:rsidR="00185837"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9DD2BCC" w14:textId="77777777" w:rsidR="00185837" w:rsidRDefault="00000000">
            <w:r>
              <w:rPr>
                <w:sz w:val="20"/>
                <w:szCs w:val="20"/>
              </w:rPr>
              <w:t>TLSPH-POL-011</w:t>
            </w:r>
          </w:p>
        </w:tc>
      </w:tr>
    </w:tbl>
    <w:p w14:paraId="6B1BDCF8"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48A18B2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F906CA" w14:textId="77777777" w:rsidR="00185837"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A862E0D" w14:textId="77777777" w:rsidR="00185837" w:rsidRDefault="00000000">
            <w:r>
              <w:rPr>
                <w:sz w:val="20"/>
                <w:szCs w:val="20"/>
              </w:rPr>
              <w:t>1.0</w:t>
            </w:r>
          </w:p>
        </w:tc>
      </w:tr>
    </w:tbl>
    <w:p w14:paraId="7865311C"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7BF895B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19F15C" w14:textId="77777777" w:rsidR="00185837"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74D4FBB" w14:textId="77777777" w:rsidR="00185837" w:rsidRDefault="00000000">
            <w:r>
              <w:rPr>
                <w:sz w:val="20"/>
                <w:szCs w:val="20"/>
              </w:rPr>
              <w:t>December 2025</w:t>
            </w:r>
          </w:p>
        </w:tc>
      </w:tr>
    </w:tbl>
    <w:p w14:paraId="0A93A290"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15D905A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CD01A25" w14:textId="77777777" w:rsidR="00185837"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687E13F" w14:textId="77777777" w:rsidR="00185837" w:rsidRDefault="00000000">
            <w:r>
              <w:rPr>
                <w:sz w:val="20"/>
                <w:szCs w:val="20"/>
              </w:rPr>
              <w:t>December 2026</w:t>
            </w:r>
          </w:p>
        </w:tc>
      </w:tr>
    </w:tbl>
    <w:p w14:paraId="41B9BFDD"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5347E53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025AFA" w14:textId="77777777" w:rsidR="00185837"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B68EC8F" w14:textId="77777777" w:rsidR="00185837" w:rsidRDefault="00000000">
            <w:r>
              <w:rPr>
                <w:sz w:val="20"/>
                <w:szCs w:val="20"/>
              </w:rPr>
              <w:t>Senior Leadership Team</w:t>
            </w:r>
          </w:p>
        </w:tc>
      </w:tr>
    </w:tbl>
    <w:p w14:paraId="083162D3"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558E6E1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A8E515" w14:textId="77777777" w:rsidR="00185837"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F694BD2" w14:textId="77777777" w:rsidR="00185837" w:rsidRDefault="00000000">
            <w:r>
              <w:rPr>
                <w:sz w:val="20"/>
                <w:szCs w:val="20"/>
              </w:rPr>
              <w:t>All staff, tutors, contractors, agents and associated persons of TLSPH LTD</w:t>
            </w:r>
          </w:p>
        </w:tc>
      </w:tr>
    </w:tbl>
    <w:p w14:paraId="54212D2F"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04B358F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CF47F5" w14:textId="77777777" w:rsidR="00185837"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6083A5B" w14:textId="77777777" w:rsidR="00185837" w:rsidRDefault="00000000">
            <w:r>
              <w:rPr>
                <w:sz w:val="20"/>
                <w:szCs w:val="20"/>
              </w:rPr>
              <w:t>Bribery Act 2010 | Proceeds of Crime Act 2002 | Criminal Finances Act 2017 | Companies Act 2006 | Money Laundering, Terrorist Financing and Transfer of Funds (Information on the Payer) Regulations 2017 | Ministry of Justice Guidance on the Bribery Act 2010</w:t>
            </w:r>
          </w:p>
        </w:tc>
      </w:tr>
    </w:tbl>
    <w:p w14:paraId="6F683C57" w14:textId="77777777" w:rsidR="00185837" w:rsidRDefault="00185837">
      <w:pPr>
        <w:spacing w:after="80"/>
      </w:pPr>
    </w:p>
    <w:p w14:paraId="0CDFBC30" w14:textId="77777777" w:rsidR="00185837" w:rsidRDefault="0018583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85837" w14:paraId="6986652F"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DEDEC"/>
            <w:tcMar>
              <w:top w:w="120" w:type="dxa"/>
              <w:left w:w="200" w:type="dxa"/>
              <w:bottom w:w="120" w:type="dxa"/>
              <w:right w:w="200" w:type="dxa"/>
            </w:tcMar>
          </w:tcPr>
          <w:p w14:paraId="7E43242C" w14:textId="77777777" w:rsidR="00185837" w:rsidRDefault="00000000">
            <w:pPr>
              <w:spacing w:after="60"/>
            </w:pPr>
            <w:r>
              <w:rPr>
                <w:b/>
                <w:bCs/>
                <w:color w:val="C0392B"/>
                <w:sz w:val="21"/>
                <w:szCs w:val="21"/>
              </w:rPr>
              <w:t>Zero Tolerance Statement</w:t>
            </w:r>
          </w:p>
          <w:p w14:paraId="70CFA8AA" w14:textId="77777777" w:rsidR="00185837" w:rsidRDefault="00000000">
            <w:pPr>
              <w:spacing w:before="10" w:after="10"/>
            </w:pPr>
            <w:r>
              <w:rPr>
                <w:sz w:val="20"/>
                <w:szCs w:val="20"/>
              </w:rPr>
              <w:t>TLSPH LTD operates a zero-tolerance policy towards bribery and corruption in all its forms. We are committed to acting professionally, fairly, and with integrity in all our business dealings and relationships, wherever we operate. This commitment applies to all staff, tutors, contractors, agents, and any person acting on behalf of TLSPH. Breaches of this policy may result in disciplinary action, dismissal, and/or criminal prosecution.</w:t>
            </w:r>
          </w:p>
        </w:tc>
      </w:tr>
    </w:tbl>
    <w:p w14:paraId="63E4BDC6" w14:textId="77777777" w:rsidR="00185837" w:rsidRDefault="00185837">
      <w:pPr>
        <w:spacing w:after="80"/>
      </w:pPr>
    </w:p>
    <w:p w14:paraId="59513EE1" w14:textId="77777777" w:rsidR="00185837" w:rsidRDefault="00000000">
      <w:pPr>
        <w:pBdr>
          <w:bottom w:val="single" w:sz="6" w:space="4" w:color="2E75B6"/>
        </w:pBdr>
        <w:spacing w:before="320" w:after="120"/>
      </w:pPr>
      <w:r>
        <w:rPr>
          <w:b/>
          <w:bCs/>
          <w:color w:val="1B3A6B"/>
          <w:sz w:val="28"/>
          <w:szCs w:val="28"/>
        </w:rPr>
        <w:t>1. Purpose and Scope</w:t>
      </w:r>
    </w:p>
    <w:p w14:paraId="1CE61170" w14:textId="77777777" w:rsidR="00185837" w:rsidRDefault="00000000">
      <w:pPr>
        <w:spacing w:before="60" w:after="100"/>
      </w:pPr>
      <w:r>
        <w:t>This policy sets out TLSPH LTD's (referred to as "TLSPH") commitment to preventing bribery and corruption and fulfilling its obligations under the Bribery Act 2010. It applies to all individuals working for or on behalf of TLSPH, including employees, tutors, contractors, consultants, agents, and any third party acting as an associated person of TLSPH.</w:t>
      </w:r>
    </w:p>
    <w:p w14:paraId="4137A50B" w14:textId="77777777" w:rsidR="00185837" w:rsidRDefault="00000000">
      <w:pPr>
        <w:spacing w:before="60" w:after="100"/>
      </w:pPr>
      <w:r>
        <w:t>This policy is particularly important given that TLSPH recruits and delivers programmes to international students and works with international awarding bodies and partners, creating potential exposure to bribery risk across multiple jurisdictions.</w:t>
      </w:r>
    </w:p>
    <w:p w14:paraId="0EC3690C" w14:textId="77777777" w:rsidR="00185837" w:rsidRDefault="00185837">
      <w:pPr>
        <w:spacing w:after="80"/>
      </w:pPr>
    </w:p>
    <w:p w14:paraId="79A1A0DC" w14:textId="77777777" w:rsidR="00185837" w:rsidRDefault="00000000">
      <w:pPr>
        <w:pBdr>
          <w:bottom w:val="single" w:sz="6" w:space="4" w:color="2E75B6"/>
        </w:pBdr>
        <w:spacing w:before="320" w:after="120"/>
      </w:pPr>
      <w:r>
        <w:rPr>
          <w:b/>
          <w:bCs/>
          <w:color w:val="1B3A6B"/>
          <w:sz w:val="28"/>
          <w:szCs w:val="28"/>
        </w:rPr>
        <w:lastRenderedPageBreak/>
        <w:t>2. UK Legal Framework</w:t>
      </w:r>
    </w:p>
    <w:p w14:paraId="48A51E45" w14:textId="77777777" w:rsidR="00185837" w:rsidRDefault="00000000">
      <w:pPr>
        <w:spacing w:before="220" w:after="80"/>
      </w:pPr>
      <w:r>
        <w:rPr>
          <w:b/>
          <w:bCs/>
          <w:color w:val="2E75B6"/>
          <w:sz w:val="24"/>
          <w:szCs w:val="24"/>
        </w:rPr>
        <w:t>2.1 Bribery Act 2010</w:t>
      </w:r>
    </w:p>
    <w:p w14:paraId="01870AC5" w14:textId="77777777" w:rsidR="00185837" w:rsidRDefault="00000000">
      <w:pPr>
        <w:spacing w:before="60" w:after="100"/>
      </w:pPr>
      <w:r>
        <w:t>The Bribery Act 2010 is the primary UK legislation governing bribery. It creates four principal offences:</w:t>
      </w:r>
    </w:p>
    <w:p w14:paraId="34B4E8E8" w14:textId="77777777" w:rsidR="00185837" w:rsidRDefault="00000000">
      <w:pPr>
        <w:pStyle w:val="ListParagraph"/>
        <w:numPr>
          <w:ilvl w:val="0"/>
          <w:numId w:val="2"/>
        </w:numPr>
        <w:spacing w:before="40" w:after="40"/>
      </w:pPr>
      <w:r>
        <w:t>Section 1 — Bribing another person: offering, promising, or giving a financial or other advantage to another person to induce them to perform a relevant function improperly</w:t>
      </w:r>
    </w:p>
    <w:p w14:paraId="1B57CEBF" w14:textId="77777777" w:rsidR="00185837" w:rsidRDefault="00000000">
      <w:pPr>
        <w:pStyle w:val="ListParagraph"/>
        <w:numPr>
          <w:ilvl w:val="0"/>
          <w:numId w:val="2"/>
        </w:numPr>
        <w:spacing w:before="40" w:after="40"/>
      </w:pPr>
      <w:r>
        <w:t>Section 2 — Being bribed: requesting, agreeing to receive, or accepting a financial or other advantage in exchange for performing a relevant function improperly</w:t>
      </w:r>
    </w:p>
    <w:p w14:paraId="12A338CA" w14:textId="77777777" w:rsidR="00185837" w:rsidRDefault="00000000">
      <w:pPr>
        <w:pStyle w:val="ListParagraph"/>
        <w:numPr>
          <w:ilvl w:val="0"/>
          <w:numId w:val="2"/>
        </w:numPr>
        <w:spacing w:before="40" w:after="40"/>
      </w:pPr>
      <w:r>
        <w:t>Section 6 — Bribery of a foreign public official: offering, promising, or giving an advantage to a foreign public official to obtain or retain business</w:t>
      </w:r>
    </w:p>
    <w:p w14:paraId="1AC64C7A" w14:textId="77777777" w:rsidR="00185837" w:rsidRDefault="00000000">
      <w:pPr>
        <w:pStyle w:val="ListParagraph"/>
        <w:numPr>
          <w:ilvl w:val="0"/>
          <w:numId w:val="2"/>
        </w:numPr>
        <w:spacing w:before="40" w:after="40"/>
      </w:pPr>
      <w:r>
        <w:t>Section 7 — Failure of a commercial organisation to prevent bribery: a corporate offence committed where an associated person bribes another person intending to obtain or retain business for the organisation</w:t>
      </w:r>
    </w:p>
    <w:p w14:paraId="4470B129" w14:textId="77777777" w:rsidR="00185837" w:rsidRDefault="00185837">
      <w:pPr>
        <w:spacing w:after="80"/>
      </w:pPr>
    </w:p>
    <w:p w14:paraId="32494301" w14:textId="77777777" w:rsidR="00185837" w:rsidRDefault="00000000">
      <w:pPr>
        <w:spacing w:before="60" w:after="100"/>
      </w:pPr>
      <w:r>
        <w:t>The Section 7 corporate offence carries unlimited fines and reputational damage. The only defence available is that the organisation had in place adequate procedures to prevent bribery. This policy forms a central part of TLSPH's adequate procedures.</w:t>
      </w:r>
    </w:p>
    <w:p w14:paraId="3F9C5C13" w14:textId="77777777" w:rsidR="00185837" w:rsidRDefault="00000000">
      <w:pPr>
        <w:spacing w:before="220" w:after="80"/>
      </w:pPr>
      <w:r>
        <w:rPr>
          <w:b/>
          <w:bCs/>
          <w:color w:val="2E75B6"/>
          <w:sz w:val="24"/>
          <w:szCs w:val="24"/>
        </w:rPr>
        <w:t>2.2 Criminal Finances Act 2017</w:t>
      </w:r>
    </w:p>
    <w:p w14:paraId="6C850F27" w14:textId="77777777" w:rsidR="00185837" w:rsidRDefault="00000000">
      <w:pPr>
        <w:spacing w:before="60" w:after="100"/>
      </w:pPr>
      <w:r>
        <w:t>The Criminal Finances Act 2017 created new corporate offences of failing to prevent the facilitation of UK and foreign tax evasion. TLSPH is committed to ensuring that it does not facilitate tax evasion by any associated person.</w:t>
      </w:r>
    </w:p>
    <w:p w14:paraId="47A34B98" w14:textId="77777777" w:rsidR="00185837" w:rsidRDefault="00000000">
      <w:pPr>
        <w:spacing w:before="220" w:after="80"/>
      </w:pPr>
      <w:r>
        <w:rPr>
          <w:b/>
          <w:bCs/>
          <w:color w:val="2E75B6"/>
          <w:sz w:val="24"/>
          <w:szCs w:val="24"/>
        </w:rPr>
        <w:t>2.3 Proceeds of Crime Act 2002</w:t>
      </w:r>
    </w:p>
    <w:p w14:paraId="5E97ECF2" w14:textId="77777777" w:rsidR="00185837" w:rsidRDefault="00000000">
      <w:pPr>
        <w:spacing w:before="60" w:after="100"/>
      </w:pPr>
      <w:r>
        <w:t>TLSPH is aware of its obligations under the Proceeds of Crime Act 2002, which criminalises money laundering. TLSPH will not accept payments it has reason to believe represent the proceeds of crime, and will report any such suspicion to the appropriate authorities.</w:t>
      </w:r>
    </w:p>
    <w:p w14:paraId="0569DAE2" w14:textId="77777777" w:rsidR="00185837" w:rsidRDefault="00185837">
      <w:pPr>
        <w:spacing w:after="80"/>
      </w:pPr>
    </w:p>
    <w:p w14:paraId="48FEB0D8" w14:textId="77777777" w:rsidR="00185837" w:rsidRDefault="00000000">
      <w:pPr>
        <w:pBdr>
          <w:bottom w:val="single" w:sz="6" w:space="4" w:color="2E75B6"/>
        </w:pBdr>
        <w:spacing w:before="320" w:after="120"/>
      </w:pPr>
      <w:r>
        <w:rPr>
          <w:b/>
          <w:bCs/>
          <w:color w:val="1B3A6B"/>
          <w:sz w:val="28"/>
          <w:szCs w:val="28"/>
        </w:rPr>
        <w:t>3. What Constitutes Bribery</w:t>
      </w:r>
    </w:p>
    <w:p w14:paraId="6DD336C4" w14:textId="77777777" w:rsidR="00185837" w:rsidRDefault="00000000">
      <w:pPr>
        <w:spacing w:before="60" w:after="100"/>
      </w:pPr>
      <w:r>
        <w:t>A bribe is a financial or other advantage offered, promised, given, requested, or received to induce a person to perform a function improperly or to reward them for doing so. Examples include:</w:t>
      </w:r>
    </w:p>
    <w:p w14:paraId="5AE8F769" w14:textId="77777777" w:rsidR="00185837" w:rsidRDefault="00000000">
      <w:pPr>
        <w:pStyle w:val="ListParagraph"/>
        <w:numPr>
          <w:ilvl w:val="0"/>
          <w:numId w:val="2"/>
        </w:numPr>
        <w:spacing w:before="40" w:after="40"/>
      </w:pPr>
      <w:r>
        <w:t>Offering a cash payment to an awarding body representative to secure a favourable assessment outcome</w:t>
      </w:r>
    </w:p>
    <w:p w14:paraId="36685AE0" w14:textId="77777777" w:rsidR="00185837" w:rsidRDefault="00000000">
      <w:pPr>
        <w:pStyle w:val="ListParagraph"/>
        <w:numPr>
          <w:ilvl w:val="0"/>
          <w:numId w:val="2"/>
        </w:numPr>
        <w:spacing w:before="40" w:after="40"/>
      </w:pPr>
      <w:r>
        <w:t>Accepting a gift from a prospective student or their family in exchange for a place on a programme</w:t>
      </w:r>
    </w:p>
    <w:p w14:paraId="5C731425" w14:textId="77777777" w:rsidR="00185837" w:rsidRDefault="00000000">
      <w:pPr>
        <w:pStyle w:val="ListParagraph"/>
        <w:numPr>
          <w:ilvl w:val="0"/>
          <w:numId w:val="2"/>
        </w:numPr>
        <w:spacing w:before="40" w:after="40"/>
      </w:pPr>
      <w:r>
        <w:t>Making a payment to a foreign agent to secure student enrolments in breach of applicable law</w:t>
      </w:r>
    </w:p>
    <w:p w14:paraId="45D8C84D" w14:textId="77777777" w:rsidR="00185837" w:rsidRDefault="00000000">
      <w:pPr>
        <w:pStyle w:val="ListParagraph"/>
        <w:numPr>
          <w:ilvl w:val="0"/>
          <w:numId w:val="2"/>
        </w:numPr>
        <w:spacing w:before="40" w:after="40"/>
      </w:pPr>
      <w:r>
        <w:t>Receiving commission or kickbacks from a supplier in exchange for awarding a contract</w:t>
      </w:r>
    </w:p>
    <w:p w14:paraId="28890B4A" w14:textId="77777777" w:rsidR="00185837" w:rsidRDefault="00000000">
      <w:pPr>
        <w:pStyle w:val="ListParagraph"/>
        <w:numPr>
          <w:ilvl w:val="0"/>
          <w:numId w:val="2"/>
        </w:numPr>
        <w:spacing w:before="40" w:after="40"/>
      </w:pPr>
      <w:r>
        <w:t>Offering hospitality to a public official to influence a regulatory decision</w:t>
      </w:r>
    </w:p>
    <w:p w14:paraId="2C82DD24" w14:textId="77777777" w:rsidR="00185837" w:rsidRDefault="00185837">
      <w:pPr>
        <w:spacing w:after="80"/>
      </w:pPr>
    </w:p>
    <w:p w14:paraId="336A7DF4" w14:textId="77777777" w:rsidR="00185837" w:rsidRDefault="00000000">
      <w:pPr>
        <w:pBdr>
          <w:bottom w:val="single" w:sz="6" w:space="4" w:color="2E75B6"/>
        </w:pBdr>
        <w:spacing w:before="320" w:after="120"/>
      </w:pPr>
      <w:r>
        <w:rPr>
          <w:b/>
          <w:bCs/>
          <w:color w:val="1B3A6B"/>
          <w:sz w:val="28"/>
          <w:szCs w:val="28"/>
        </w:rPr>
        <w:t>4. Gifts, Hospitality and Expenses</w:t>
      </w:r>
    </w:p>
    <w:p w14:paraId="176EC53F" w14:textId="77777777" w:rsidR="00185837" w:rsidRDefault="00000000">
      <w:pPr>
        <w:spacing w:before="220" w:after="80"/>
      </w:pPr>
      <w:r>
        <w:rPr>
          <w:b/>
          <w:bCs/>
          <w:color w:val="2E75B6"/>
          <w:sz w:val="24"/>
          <w:szCs w:val="24"/>
        </w:rPr>
        <w:lastRenderedPageBreak/>
        <w:t>4.1 Permitted Gifts and Hospitality</w:t>
      </w:r>
    </w:p>
    <w:p w14:paraId="0F91BFEE" w14:textId="77777777" w:rsidR="00185837" w:rsidRDefault="00000000">
      <w:pPr>
        <w:spacing w:before="60" w:after="100"/>
      </w:pPr>
      <w:r>
        <w:t>TLSPH recognises that reasonable, proportionate, and transparent gifts and hospitality can be a legitimate part of professional relationships. The following is permitted:</w:t>
      </w:r>
    </w:p>
    <w:p w14:paraId="657CD038" w14:textId="77777777" w:rsidR="00185837" w:rsidRDefault="00000000">
      <w:pPr>
        <w:pStyle w:val="ListParagraph"/>
        <w:numPr>
          <w:ilvl w:val="0"/>
          <w:numId w:val="2"/>
        </w:numPr>
        <w:spacing w:before="40" w:after="40"/>
      </w:pPr>
      <w:r>
        <w:t>Gifts of modest value (under £50) received or given in the normal course of business, where they are not intended to influence a business decision</w:t>
      </w:r>
    </w:p>
    <w:p w14:paraId="004CEE7B" w14:textId="77777777" w:rsidR="00185837" w:rsidRDefault="00000000">
      <w:pPr>
        <w:pStyle w:val="ListParagraph"/>
        <w:numPr>
          <w:ilvl w:val="0"/>
          <w:numId w:val="2"/>
        </w:numPr>
        <w:spacing w:before="40" w:after="40"/>
      </w:pPr>
      <w:r>
        <w:t>Reasonable hospitality such as business meals, where the purpose is professional relationship-building and the cost is proportionate</w:t>
      </w:r>
    </w:p>
    <w:p w14:paraId="22659B02" w14:textId="77777777" w:rsidR="00185837" w:rsidRDefault="00000000">
      <w:pPr>
        <w:pStyle w:val="ListParagraph"/>
        <w:numPr>
          <w:ilvl w:val="0"/>
          <w:numId w:val="2"/>
        </w:numPr>
        <w:spacing w:before="40" w:after="40"/>
      </w:pPr>
      <w:r>
        <w:t>Promotional materials of nominal value</w:t>
      </w:r>
    </w:p>
    <w:p w14:paraId="2EF869A8" w14:textId="77777777" w:rsidR="00185837" w:rsidRDefault="00000000">
      <w:pPr>
        <w:spacing w:before="220" w:after="80"/>
      </w:pPr>
      <w:r>
        <w:rPr>
          <w:b/>
          <w:bCs/>
          <w:color w:val="2E75B6"/>
          <w:sz w:val="24"/>
          <w:szCs w:val="24"/>
        </w:rPr>
        <w:t>4.2 Prohibited Gifts and Hospitality</w:t>
      </w:r>
    </w:p>
    <w:p w14:paraId="0AFA104D" w14:textId="77777777" w:rsidR="00185837" w:rsidRDefault="00000000">
      <w:pPr>
        <w:pStyle w:val="ListParagraph"/>
        <w:numPr>
          <w:ilvl w:val="0"/>
          <w:numId w:val="2"/>
        </w:numPr>
        <w:spacing w:before="40" w:after="40"/>
      </w:pPr>
      <w:r>
        <w:t>Cash or cash-equivalent gifts (e.g. gift vouchers) of any value</w:t>
      </w:r>
    </w:p>
    <w:p w14:paraId="36500B47" w14:textId="77777777" w:rsidR="00185837" w:rsidRDefault="00000000">
      <w:pPr>
        <w:pStyle w:val="ListParagraph"/>
        <w:numPr>
          <w:ilvl w:val="0"/>
          <w:numId w:val="2"/>
        </w:numPr>
        <w:spacing w:before="40" w:after="40"/>
      </w:pPr>
      <w:r>
        <w:t>Gifts or hospitality offered or received during a tender or procurement process</w:t>
      </w:r>
    </w:p>
    <w:p w14:paraId="37CD6A33" w14:textId="77777777" w:rsidR="00185837" w:rsidRDefault="00000000">
      <w:pPr>
        <w:pStyle w:val="ListParagraph"/>
        <w:numPr>
          <w:ilvl w:val="0"/>
          <w:numId w:val="2"/>
        </w:numPr>
        <w:spacing w:before="40" w:after="40"/>
      </w:pPr>
      <w:r>
        <w:t>Gifts or hospitality that could reasonably be perceived as intended to influence a decision</w:t>
      </w:r>
    </w:p>
    <w:p w14:paraId="5E700456" w14:textId="77777777" w:rsidR="00185837" w:rsidRDefault="00000000">
      <w:pPr>
        <w:pStyle w:val="ListParagraph"/>
        <w:numPr>
          <w:ilvl w:val="0"/>
          <w:numId w:val="2"/>
        </w:numPr>
        <w:spacing w:before="40" w:after="40"/>
      </w:pPr>
      <w:r>
        <w:t>Gifts or hospitality offered to or received from public officials, without prior approval from the Senior Leadership Team</w:t>
      </w:r>
    </w:p>
    <w:p w14:paraId="0A6340F8" w14:textId="77777777" w:rsidR="00185837" w:rsidRDefault="00000000">
      <w:pPr>
        <w:pStyle w:val="ListParagraph"/>
        <w:numPr>
          <w:ilvl w:val="0"/>
          <w:numId w:val="2"/>
        </w:numPr>
        <w:spacing w:before="40" w:after="40"/>
      </w:pPr>
      <w:r>
        <w:t>Lavish or disproportionate hospitality of any kind</w:t>
      </w:r>
    </w:p>
    <w:p w14:paraId="1CC028E3" w14:textId="77777777" w:rsidR="00185837" w:rsidRDefault="00000000">
      <w:pPr>
        <w:spacing w:before="220" w:after="80"/>
      </w:pPr>
      <w:r>
        <w:rPr>
          <w:b/>
          <w:bCs/>
          <w:color w:val="2E75B6"/>
          <w:sz w:val="24"/>
          <w:szCs w:val="24"/>
        </w:rPr>
        <w:t>4.3 Gifts and Hospitality Register</w:t>
      </w:r>
    </w:p>
    <w:p w14:paraId="12ED4830" w14:textId="77777777" w:rsidR="00185837" w:rsidRDefault="00000000">
      <w:pPr>
        <w:spacing w:before="60" w:after="100"/>
      </w:pPr>
      <w:r>
        <w:t>All gifts and hospitality received or offered with a value above £25 must be recorded in the TLSPH Gifts and Hospitality Register, maintained by the Senior Leadership Team. The register records the nature of the gift or hospitality, its estimated value, who provided or received it, and the date. The register is reviewed by the Senior Leadership Team quarterly.</w:t>
      </w:r>
    </w:p>
    <w:p w14:paraId="33F703FF" w14:textId="77777777" w:rsidR="00185837" w:rsidRDefault="00185837">
      <w:pPr>
        <w:spacing w:after="80"/>
      </w:pPr>
    </w:p>
    <w:p w14:paraId="26612E12" w14:textId="77777777" w:rsidR="00185837" w:rsidRDefault="00000000">
      <w:pPr>
        <w:pBdr>
          <w:bottom w:val="single" w:sz="6" w:space="4" w:color="2E75B6"/>
        </w:pBdr>
        <w:spacing w:before="320" w:after="120"/>
      </w:pPr>
      <w:r>
        <w:rPr>
          <w:b/>
          <w:bCs/>
          <w:color w:val="1B3A6B"/>
          <w:sz w:val="28"/>
          <w:szCs w:val="28"/>
        </w:rPr>
        <w:t>5. International Operations and Third-Party Risk</w:t>
      </w:r>
    </w:p>
    <w:p w14:paraId="7931399C" w14:textId="77777777" w:rsidR="00185837" w:rsidRDefault="00000000">
      <w:pPr>
        <w:spacing w:before="60" w:after="100"/>
      </w:pPr>
      <w:r>
        <w:t>TLSPH acknowledges that bribery risk is heightened in international contexts. All staff and agents involved in international recruitment, partnerships, or operations must be aware that:</w:t>
      </w:r>
    </w:p>
    <w:p w14:paraId="707C040A" w14:textId="77777777" w:rsidR="00185837" w:rsidRDefault="00000000">
      <w:pPr>
        <w:pStyle w:val="ListParagraph"/>
        <w:numPr>
          <w:ilvl w:val="0"/>
          <w:numId w:val="2"/>
        </w:numPr>
        <w:spacing w:before="40" w:after="40"/>
      </w:pPr>
      <w:r>
        <w:t>The Bribery Act 2010 applies to conduct anywhere in the world where it is carried out by a UK-registered company or its associated persons</w:t>
      </w:r>
    </w:p>
    <w:p w14:paraId="60B3E2E6" w14:textId="77777777" w:rsidR="00185837" w:rsidRDefault="00000000">
      <w:pPr>
        <w:pStyle w:val="ListParagraph"/>
        <w:numPr>
          <w:ilvl w:val="0"/>
          <w:numId w:val="2"/>
        </w:numPr>
        <w:spacing w:before="40" w:after="40"/>
      </w:pPr>
      <w:r>
        <w:t>Facilitation payments — small payments made to foreign officials to speed up routine processes — are illegal under the Bribery Act 2010 and must not be made</w:t>
      </w:r>
    </w:p>
    <w:p w14:paraId="701487B7" w14:textId="77777777" w:rsidR="00185837" w:rsidRDefault="00000000">
      <w:pPr>
        <w:pStyle w:val="ListParagraph"/>
        <w:numPr>
          <w:ilvl w:val="0"/>
          <w:numId w:val="2"/>
        </w:numPr>
        <w:spacing w:before="40" w:after="40"/>
      </w:pPr>
      <w:r>
        <w:t>Any third-party agent or partner engaged to recruit students internationally must undergo due diligence checks before engagement, including an assessment of their anti-bribery procedures</w:t>
      </w:r>
    </w:p>
    <w:p w14:paraId="5EA7627A" w14:textId="77777777" w:rsidR="00185837" w:rsidRDefault="00000000">
      <w:pPr>
        <w:pStyle w:val="ListParagraph"/>
        <w:numPr>
          <w:ilvl w:val="0"/>
          <w:numId w:val="2"/>
        </w:numPr>
        <w:spacing w:before="40" w:after="40"/>
      </w:pPr>
      <w:r>
        <w:t>Contracts with international agents must include anti-bribery representations and warranties</w:t>
      </w:r>
    </w:p>
    <w:p w14:paraId="5679CAD8" w14:textId="77777777" w:rsidR="00185837" w:rsidRDefault="00185837">
      <w:pPr>
        <w:spacing w:after="80"/>
      </w:pPr>
    </w:p>
    <w:p w14:paraId="1967A939" w14:textId="77777777" w:rsidR="00185837" w:rsidRDefault="00000000">
      <w:pPr>
        <w:pBdr>
          <w:bottom w:val="single" w:sz="6" w:space="4" w:color="2E75B6"/>
        </w:pBdr>
        <w:spacing w:before="320" w:after="120"/>
      </w:pPr>
      <w:r>
        <w:rPr>
          <w:b/>
          <w:bCs/>
          <w:color w:val="1B3A6B"/>
          <w:sz w:val="28"/>
          <w:szCs w:val="28"/>
        </w:rPr>
        <w:t>6. Due Diligence</w:t>
      </w:r>
    </w:p>
    <w:p w14:paraId="38D3A0A3" w14:textId="77777777" w:rsidR="00185837" w:rsidRDefault="00000000">
      <w:pPr>
        <w:spacing w:before="60" w:after="100"/>
      </w:pPr>
      <w:r>
        <w:t>TLSPH will conduct proportionate due diligence on third parties — including agents, partners, and suppliers — before entering into a material business relationship. Due diligence will include:</w:t>
      </w:r>
    </w:p>
    <w:p w14:paraId="29C65825" w14:textId="77777777" w:rsidR="00185837" w:rsidRDefault="00000000">
      <w:pPr>
        <w:pStyle w:val="ListParagraph"/>
        <w:numPr>
          <w:ilvl w:val="0"/>
          <w:numId w:val="2"/>
        </w:numPr>
        <w:spacing w:before="40" w:after="40"/>
      </w:pPr>
      <w:r>
        <w:t>Verification of identity and legal standing</w:t>
      </w:r>
    </w:p>
    <w:p w14:paraId="39304F7F" w14:textId="77777777" w:rsidR="00185837" w:rsidRDefault="00000000">
      <w:pPr>
        <w:pStyle w:val="ListParagraph"/>
        <w:numPr>
          <w:ilvl w:val="0"/>
          <w:numId w:val="2"/>
        </w:numPr>
        <w:spacing w:before="40" w:after="40"/>
      </w:pPr>
      <w:r>
        <w:t>Assessment of the third party's anti-bribery and anti-corruption policies and procedures</w:t>
      </w:r>
    </w:p>
    <w:p w14:paraId="0D667CA1" w14:textId="77777777" w:rsidR="00185837" w:rsidRDefault="00000000">
      <w:pPr>
        <w:pStyle w:val="ListParagraph"/>
        <w:numPr>
          <w:ilvl w:val="0"/>
          <w:numId w:val="2"/>
        </w:numPr>
        <w:spacing w:before="40" w:after="40"/>
      </w:pPr>
      <w:r>
        <w:t>Assessment of the jurisdiction and associated bribery risk</w:t>
      </w:r>
    </w:p>
    <w:p w14:paraId="2FC7D686" w14:textId="77777777" w:rsidR="00185837" w:rsidRDefault="00000000">
      <w:pPr>
        <w:pStyle w:val="ListParagraph"/>
        <w:numPr>
          <w:ilvl w:val="0"/>
          <w:numId w:val="2"/>
        </w:numPr>
        <w:spacing w:before="40" w:after="40"/>
      </w:pPr>
      <w:r>
        <w:t>Review of any adverse media or regulatory history</w:t>
      </w:r>
    </w:p>
    <w:p w14:paraId="207DA8B3" w14:textId="77777777" w:rsidR="00185837" w:rsidRDefault="00185837">
      <w:pPr>
        <w:spacing w:after="80"/>
      </w:pPr>
    </w:p>
    <w:p w14:paraId="0FBDA296" w14:textId="77777777" w:rsidR="00185837" w:rsidRDefault="00000000">
      <w:pPr>
        <w:spacing w:before="60" w:after="100"/>
      </w:pPr>
      <w:r>
        <w:t>Due diligence checks will be documented and retained in accordance with the TLSPH Data Retention Policy (TLSPH-POL-007).</w:t>
      </w:r>
    </w:p>
    <w:p w14:paraId="791319DF" w14:textId="77777777" w:rsidR="00185837" w:rsidRDefault="00185837">
      <w:pPr>
        <w:spacing w:after="80"/>
      </w:pPr>
    </w:p>
    <w:p w14:paraId="6CD487DB" w14:textId="77777777" w:rsidR="00185837" w:rsidRDefault="00000000">
      <w:pPr>
        <w:pBdr>
          <w:bottom w:val="single" w:sz="6" w:space="4" w:color="2E75B6"/>
        </w:pBdr>
        <w:spacing w:before="320" w:after="120"/>
      </w:pPr>
      <w:r>
        <w:rPr>
          <w:b/>
          <w:bCs/>
          <w:color w:val="1B3A6B"/>
          <w:sz w:val="28"/>
          <w:szCs w:val="28"/>
        </w:rPr>
        <w:t>7. Reporting Concerns</w:t>
      </w:r>
    </w:p>
    <w:p w14:paraId="306CC28A" w14:textId="77777777" w:rsidR="00185837" w:rsidRDefault="00000000">
      <w:pPr>
        <w:spacing w:before="60" w:after="100"/>
      </w:pPr>
      <w:r>
        <w:t>Any member of staff, tutor, or contractor who suspects that bribery or corruption has occurred, or is being contemplated, must report their concern immediately. Reports can be made:</w:t>
      </w:r>
    </w:p>
    <w:p w14:paraId="576FE3D9" w14:textId="77777777" w:rsidR="00185837" w:rsidRDefault="00000000">
      <w:pPr>
        <w:pStyle w:val="ListParagraph"/>
        <w:numPr>
          <w:ilvl w:val="0"/>
          <w:numId w:val="2"/>
        </w:numPr>
        <w:spacing w:before="40" w:after="40"/>
      </w:pPr>
      <w:r>
        <w:t>To the Senior Leadership Team by email: info@thelondonschoolofpublichealth.com</w:t>
      </w:r>
    </w:p>
    <w:p w14:paraId="7A84F31D" w14:textId="77777777" w:rsidR="00185837" w:rsidRDefault="00000000">
      <w:pPr>
        <w:pStyle w:val="ListParagraph"/>
        <w:numPr>
          <w:ilvl w:val="0"/>
          <w:numId w:val="2"/>
        </w:numPr>
        <w:spacing w:before="40" w:after="40"/>
      </w:pPr>
      <w:r>
        <w:t>Via the TLSPH Whistleblowing Policy (TLSPH-POL-012), which provides for anonymous reporting</w:t>
      </w:r>
    </w:p>
    <w:p w14:paraId="596FA654" w14:textId="77777777" w:rsidR="00185837" w:rsidRDefault="00185837">
      <w:pPr>
        <w:spacing w:after="80"/>
      </w:pPr>
    </w:p>
    <w:p w14:paraId="2B4CDC07" w14:textId="77777777" w:rsidR="00185837" w:rsidRDefault="00000000">
      <w:pPr>
        <w:spacing w:before="60" w:after="100"/>
      </w:pPr>
      <w:r>
        <w:t>All reports will be taken seriously, investigated promptly, and treated with appropriate confidentiality. No person who makes a report in good faith will suffer any detriment as a result, in accordance with the Whistleblowing Policy and the Public Interest Disclosure Act 1998.</w:t>
      </w:r>
    </w:p>
    <w:p w14:paraId="3EA1C785" w14:textId="77777777" w:rsidR="00185837" w:rsidRDefault="0018583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85837" w14:paraId="1C3F7A1E"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5F6FFE06" w14:textId="77777777" w:rsidR="00185837" w:rsidRDefault="00000000">
            <w:pPr>
              <w:spacing w:after="60"/>
            </w:pPr>
            <w:r>
              <w:rPr>
                <w:b/>
                <w:bCs/>
                <w:color w:val="D4720A"/>
                <w:sz w:val="21"/>
                <w:szCs w:val="21"/>
              </w:rPr>
              <w:t>Serious or Urgent Concerns</w:t>
            </w:r>
          </w:p>
          <w:p w14:paraId="66711BAC" w14:textId="77777777" w:rsidR="00185837" w:rsidRDefault="00000000">
            <w:pPr>
              <w:spacing w:before="10" w:after="10"/>
            </w:pPr>
            <w:r>
              <w:rPr>
                <w:sz w:val="20"/>
                <w:szCs w:val="20"/>
              </w:rPr>
              <w:t>Where there is reason to believe that a serious criminal offence has been committed, the matter may be reported to the Serious Fraud Office (SFO): www.sfo.gov.uk | 0207 239 7272, or to the National Crime Agency (NCA): www.nationalcrimeagency.gov.uk. Staff are not required to investigate concerns themselves before reporting to an external body.</w:t>
            </w:r>
          </w:p>
        </w:tc>
      </w:tr>
    </w:tbl>
    <w:p w14:paraId="4A3C8233" w14:textId="77777777" w:rsidR="00185837" w:rsidRDefault="00185837">
      <w:pPr>
        <w:spacing w:after="80"/>
      </w:pPr>
    </w:p>
    <w:p w14:paraId="0E5BCC4D" w14:textId="77777777" w:rsidR="00185837" w:rsidRDefault="00000000">
      <w:pPr>
        <w:pBdr>
          <w:bottom w:val="single" w:sz="6" w:space="4" w:color="2E75B6"/>
        </w:pBdr>
        <w:spacing w:before="320" w:after="120"/>
      </w:pPr>
      <w:r>
        <w:rPr>
          <w:b/>
          <w:bCs/>
          <w:color w:val="1B3A6B"/>
          <w:sz w:val="28"/>
          <w:szCs w:val="28"/>
        </w:rPr>
        <w:t>8. Sanctions</w:t>
      </w:r>
    </w:p>
    <w:p w14:paraId="72B95D6B" w14:textId="77777777" w:rsidR="00185837" w:rsidRDefault="00000000">
      <w:pPr>
        <w:spacing w:before="60" w:after="100"/>
      </w:pPr>
      <w:r>
        <w:t>Any breach of this policy will be taken seriously. Consequences may include:</w:t>
      </w:r>
    </w:p>
    <w:p w14:paraId="4C41BB98" w14:textId="77777777" w:rsidR="00185837" w:rsidRDefault="00000000">
      <w:pPr>
        <w:pStyle w:val="ListParagraph"/>
        <w:numPr>
          <w:ilvl w:val="0"/>
          <w:numId w:val="2"/>
        </w:numPr>
        <w:spacing w:before="40" w:after="40"/>
      </w:pPr>
      <w:r>
        <w:t>Summary dismissal for employees</w:t>
      </w:r>
    </w:p>
    <w:p w14:paraId="10C69B73" w14:textId="77777777" w:rsidR="00185837" w:rsidRDefault="00000000">
      <w:pPr>
        <w:pStyle w:val="ListParagraph"/>
        <w:numPr>
          <w:ilvl w:val="0"/>
          <w:numId w:val="2"/>
        </w:numPr>
        <w:spacing w:before="40" w:after="40"/>
      </w:pPr>
      <w:r>
        <w:t>Immediate termination of contract for tutors and contractors</w:t>
      </w:r>
    </w:p>
    <w:p w14:paraId="2E464D77" w14:textId="77777777" w:rsidR="00185837" w:rsidRDefault="00000000">
      <w:pPr>
        <w:pStyle w:val="ListParagraph"/>
        <w:numPr>
          <w:ilvl w:val="0"/>
          <w:numId w:val="2"/>
        </w:numPr>
        <w:spacing w:before="40" w:after="40"/>
      </w:pPr>
      <w:r>
        <w:t>Civil and/or criminal liability under the Bribery Act 2010 (up to 10 years' imprisonment for individuals; unlimited fines for corporate offences)</w:t>
      </w:r>
    </w:p>
    <w:p w14:paraId="5A169B08" w14:textId="77777777" w:rsidR="00185837" w:rsidRDefault="00000000">
      <w:pPr>
        <w:pStyle w:val="ListParagraph"/>
        <w:numPr>
          <w:ilvl w:val="0"/>
          <w:numId w:val="2"/>
        </w:numPr>
        <w:spacing w:before="40" w:after="40"/>
      </w:pPr>
      <w:r>
        <w:t>Referral to the Serious Fraud Office or other appropriate authority</w:t>
      </w:r>
    </w:p>
    <w:p w14:paraId="304662B7" w14:textId="77777777" w:rsidR="00185837" w:rsidRDefault="00000000">
      <w:pPr>
        <w:pStyle w:val="ListParagraph"/>
        <w:numPr>
          <w:ilvl w:val="0"/>
          <w:numId w:val="2"/>
        </w:numPr>
        <w:spacing w:before="40" w:after="40"/>
      </w:pPr>
      <w:r>
        <w:t>Notification to Ofqual and relevant awarding bodies where the breach affects regulated qualifications</w:t>
      </w:r>
    </w:p>
    <w:p w14:paraId="1745D409" w14:textId="77777777" w:rsidR="00185837" w:rsidRDefault="00185837">
      <w:pPr>
        <w:spacing w:after="80"/>
      </w:pPr>
    </w:p>
    <w:p w14:paraId="6CE410AB" w14:textId="77777777" w:rsidR="00185837" w:rsidRDefault="00000000">
      <w:pPr>
        <w:pBdr>
          <w:bottom w:val="single" w:sz="6" w:space="4" w:color="2E75B6"/>
        </w:pBdr>
        <w:spacing w:before="320" w:after="120"/>
      </w:pPr>
      <w:r>
        <w:rPr>
          <w:b/>
          <w:bCs/>
          <w:color w:val="1B3A6B"/>
          <w:sz w:val="28"/>
          <w:szCs w:val="28"/>
        </w:rPr>
        <w:t>9. Training</w:t>
      </w:r>
    </w:p>
    <w:p w14:paraId="04606131" w14:textId="77777777" w:rsidR="00185837" w:rsidRDefault="00000000">
      <w:pPr>
        <w:spacing w:before="60" w:after="100"/>
      </w:pPr>
      <w:r>
        <w:t>All staff and tutors will receive anti-bribery awareness training at induction. Refresher training will be provided at least every two years, or more frequently where the bribery risk profile of TLSPH's activities changes. Training records are maintained by the Senior Leadership Team.</w:t>
      </w:r>
    </w:p>
    <w:p w14:paraId="007D4C07" w14:textId="77777777" w:rsidR="00185837" w:rsidRDefault="00185837">
      <w:pPr>
        <w:spacing w:after="80"/>
      </w:pPr>
    </w:p>
    <w:p w14:paraId="61DA56FF" w14:textId="77777777" w:rsidR="00185837" w:rsidRDefault="00000000">
      <w:pPr>
        <w:pBdr>
          <w:bottom w:val="single" w:sz="6" w:space="4" w:color="2E75B6"/>
        </w:pBdr>
        <w:spacing w:before="320" w:after="120"/>
      </w:pPr>
      <w:r>
        <w:rPr>
          <w:b/>
          <w:bCs/>
          <w:color w:val="1B3A6B"/>
          <w:sz w:val="28"/>
          <w:szCs w:val="28"/>
        </w:rPr>
        <w:t>10. Related Policies</w:t>
      </w:r>
    </w:p>
    <w:p w14:paraId="10486628" w14:textId="77777777" w:rsidR="00185837" w:rsidRDefault="00000000">
      <w:pPr>
        <w:pStyle w:val="ListParagraph"/>
        <w:numPr>
          <w:ilvl w:val="0"/>
          <w:numId w:val="2"/>
        </w:numPr>
        <w:spacing w:before="40" w:after="40"/>
      </w:pPr>
      <w:r>
        <w:t>Whistleblowing Policy (TLSPH-POL-012)</w:t>
      </w:r>
    </w:p>
    <w:p w14:paraId="4483D297" w14:textId="77777777" w:rsidR="00185837" w:rsidRDefault="00000000">
      <w:pPr>
        <w:pStyle w:val="ListParagraph"/>
        <w:numPr>
          <w:ilvl w:val="0"/>
          <w:numId w:val="2"/>
        </w:numPr>
        <w:spacing w:before="40" w:after="40"/>
      </w:pPr>
      <w:r>
        <w:lastRenderedPageBreak/>
        <w:t>Conflicts of Interest Policy (TLSPH-POL-013)</w:t>
      </w:r>
    </w:p>
    <w:p w14:paraId="1032BE54" w14:textId="77777777" w:rsidR="00185837" w:rsidRDefault="00000000">
      <w:pPr>
        <w:pStyle w:val="ListParagraph"/>
        <w:numPr>
          <w:ilvl w:val="0"/>
          <w:numId w:val="2"/>
        </w:numPr>
        <w:spacing w:before="40" w:after="40"/>
      </w:pPr>
      <w:r>
        <w:t>Recruitment &amp; Selection Policy (TLSPH-POL-015)</w:t>
      </w:r>
    </w:p>
    <w:p w14:paraId="05BC5D55" w14:textId="77777777" w:rsidR="00185837" w:rsidRDefault="00000000">
      <w:pPr>
        <w:pStyle w:val="ListParagraph"/>
        <w:numPr>
          <w:ilvl w:val="0"/>
          <w:numId w:val="2"/>
        </w:numPr>
        <w:spacing w:before="40" w:after="40"/>
      </w:pPr>
      <w:r>
        <w:t>Data Retention Policy (TLSPH-POL-007)</w:t>
      </w:r>
    </w:p>
    <w:p w14:paraId="26553DED" w14:textId="77777777" w:rsidR="00185837" w:rsidRDefault="00185837">
      <w:pPr>
        <w:spacing w:after="80"/>
      </w:pPr>
    </w:p>
    <w:p w14:paraId="2F3581D8" w14:textId="77777777" w:rsidR="00185837" w:rsidRDefault="00000000">
      <w:pPr>
        <w:pBdr>
          <w:bottom w:val="single" w:sz="6" w:space="4" w:color="2E75B6"/>
        </w:pBdr>
        <w:spacing w:before="320" w:after="120"/>
      </w:pPr>
      <w:r>
        <w:rPr>
          <w:b/>
          <w:bCs/>
          <w:color w:val="1B3A6B"/>
          <w:sz w:val="28"/>
          <w:szCs w:val="28"/>
        </w:rPr>
        <w:t>11. Contact</w:t>
      </w:r>
    </w:p>
    <w:p w14:paraId="32C2FFA8" w14:textId="77777777" w:rsidR="00185837" w:rsidRDefault="0018583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4798D38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DD68EBE" w14:textId="77777777" w:rsidR="00185837" w:rsidRDefault="00000000">
            <w:r>
              <w:rPr>
                <w:b/>
                <w:bCs/>
                <w:color w:val="1B3A6B"/>
                <w:sz w:val="20"/>
                <w:szCs w:val="20"/>
              </w:rPr>
              <w:t>Bribery Concerns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B2F1080" w14:textId="77777777" w:rsidR="00185837" w:rsidRDefault="00000000">
            <w:r>
              <w:rPr>
                <w:sz w:val="20"/>
                <w:szCs w:val="20"/>
              </w:rPr>
              <w:t>info@thelondonschoolofpublichealth.com</w:t>
            </w:r>
          </w:p>
        </w:tc>
      </w:tr>
    </w:tbl>
    <w:p w14:paraId="4CF85B8E"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4952171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DD2B2D" w14:textId="77777777" w:rsidR="00185837" w:rsidRDefault="00000000">
            <w:r>
              <w:rPr>
                <w:b/>
                <w:bCs/>
                <w:color w:val="1B3A6B"/>
                <w:sz w:val="20"/>
                <w:szCs w:val="20"/>
              </w:rPr>
              <w:t>Serious Fraud Office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5CE6053" w14:textId="77777777" w:rsidR="00185837" w:rsidRDefault="00000000">
            <w:r>
              <w:rPr>
                <w:sz w:val="20"/>
                <w:szCs w:val="20"/>
              </w:rPr>
              <w:t>www.sfo.gov.uk  |  0207 239 7272</w:t>
            </w:r>
          </w:p>
        </w:tc>
      </w:tr>
    </w:tbl>
    <w:p w14:paraId="6D4D6788"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13BCA7F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89CEDB" w14:textId="77777777" w:rsidR="00185837" w:rsidRDefault="00000000">
            <w:r>
              <w:rPr>
                <w:b/>
                <w:bCs/>
                <w:color w:val="1B3A6B"/>
                <w:sz w:val="20"/>
                <w:szCs w:val="20"/>
              </w:rPr>
              <w:t>National Crime Agency</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AD18A8A" w14:textId="77777777" w:rsidR="00185837" w:rsidRDefault="00000000">
            <w:r>
              <w:rPr>
                <w:sz w:val="20"/>
                <w:szCs w:val="20"/>
              </w:rPr>
              <w:t>www.nationalcrimeagency.gov.uk</w:t>
            </w:r>
          </w:p>
        </w:tc>
      </w:tr>
    </w:tbl>
    <w:p w14:paraId="4783EA9F" w14:textId="77777777" w:rsidR="00185837" w:rsidRDefault="00185837">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185837" w14:paraId="06678B0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CCAB55" w14:textId="77777777" w:rsidR="00185837" w:rsidRDefault="00000000">
            <w:r>
              <w:rPr>
                <w:b/>
                <w:bCs/>
                <w:color w:val="1B3A6B"/>
                <w:sz w:val="20"/>
                <w:szCs w:val="20"/>
              </w:rPr>
              <w:t>Ministry of Justice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8D59FFE" w14:textId="77777777" w:rsidR="00185837" w:rsidRDefault="00000000">
            <w:r>
              <w:rPr>
                <w:sz w:val="20"/>
                <w:szCs w:val="20"/>
              </w:rPr>
              <w:t>www.gov.uk/bribery-act-2010-guidance</w:t>
            </w:r>
          </w:p>
        </w:tc>
      </w:tr>
    </w:tbl>
    <w:p w14:paraId="4D4D1E0D" w14:textId="77777777" w:rsidR="00185837" w:rsidRDefault="00185837">
      <w:pPr>
        <w:spacing w:after="80"/>
      </w:pPr>
    </w:p>
    <w:p w14:paraId="2286AD65" w14:textId="77777777" w:rsidR="00185837" w:rsidRDefault="0018583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85837" w14:paraId="52C9F9CC"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23B6B8E9" w14:textId="77777777" w:rsidR="00185837" w:rsidRDefault="00000000">
            <w:pPr>
              <w:spacing w:before="40" w:after="40"/>
            </w:pPr>
            <w:r>
              <w:rPr>
                <w:b/>
                <w:bCs/>
                <w:color w:val="1B3A6B"/>
                <w:sz w:val="20"/>
                <w:szCs w:val="20"/>
              </w:rPr>
              <w:t>Policy Review</w:t>
            </w:r>
          </w:p>
          <w:p w14:paraId="33E0857B" w14:textId="77777777" w:rsidR="00185837" w:rsidRDefault="00000000">
            <w:pPr>
              <w:spacing w:before="20" w:after="20"/>
            </w:pPr>
            <w:r>
              <w:rPr>
                <w:sz w:val="19"/>
                <w:szCs w:val="19"/>
              </w:rPr>
              <w:t>This policy is reviewed annually by the Senior Leadership Team to ensure compliance with the Bribery Act 2010, Criminal Finances Act 2017, Proceeds of Crime Act 2002, and Ministry of Justice guidance on adequate procedures. The policy will be updated where TLSPH's risk profile changes, for example on entering new international markets or engaging new agents.</w:t>
            </w:r>
          </w:p>
          <w:p w14:paraId="476D9A6C" w14:textId="77777777" w:rsidR="00185837" w:rsidRDefault="00000000">
            <w:pPr>
              <w:spacing w:before="20" w:after="40"/>
            </w:pPr>
            <w:r>
              <w:rPr>
                <w:i/>
                <w:iCs/>
                <w:color w:val="555555"/>
                <w:sz w:val="19"/>
                <w:szCs w:val="19"/>
              </w:rPr>
              <w:t>Last Reviewed: December 2025   |   Next Review Due: December 2026   |   Version: 1.0</w:t>
            </w:r>
          </w:p>
        </w:tc>
      </w:tr>
    </w:tbl>
    <w:p w14:paraId="2980FBC6" w14:textId="77777777" w:rsidR="008239FB" w:rsidRDefault="008239FB"/>
    <w:sectPr w:rsidR="008239FB">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1A17" w14:textId="77777777" w:rsidR="008239FB" w:rsidRDefault="008239FB">
      <w:r>
        <w:separator/>
      </w:r>
    </w:p>
  </w:endnote>
  <w:endnote w:type="continuationSeparator" w:id="0">
    <w:p w14:paraId="593DF45B" w14:textId="77777777" w:rsidR="008239FB" w:rsidRDefault="0082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8D36" w14:textId="77777777" w:rsidR="00185837" w:rsidRDefault="00000000">
    <w:pPr>
      <w:pBdr>
        <w:top w:val="single" w:sz="4" w:space="4" w:color="2E75B6"/>
      </w:pBdr>
      <w:spacing w:before="80"/>
    </w:pPr>
    <w:r>
      <w:rPr>
        <w:color w:val="888888"/>
        <w:sz w:val="16"/>
        <w:szCs w:val="16"/>
      </w:rPr>
      <w:t>Anti-Bribery &amp; Corruption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3BE5" w14:textId="77777777" w:rsidR="008239FB" w:rsidRDefault="008239FB">
      <w:r>
        <w:separator/>
      </w:r>
    </w:p>
  </w:footnote>
  <w:footnote w:type="continuationSeparator" w:id="0">
    <w:p w14:paraId="7AED231F" w14:textId="77777777" w:rsidR="008239FB" w:rsidRDefault="00823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61F5" w14:textId="77777777" w:rsidR="00185837" w:rsidRDefault="00000000">
    <w:pPr>
      <w:pBdr>
        <w:bottom w:val="single" w:sz="6" w:space="6" w:color="2E75B6"/>
      </w:pBdr>
    </w:pPr>
    <w:r>
      <w:rPr>
        <w:noProof/>
      </w:rPr>
      <w:drawing>
        <wp:inline distT="0" distB="0" distL="0" distR="0" wp14:anchorId="0823FBC0" wp14:editId="677D99C3">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30E"/>
    <w:multiLevelType w:val="hybridMultilevel"/>
    <w:tmpl w:val="762C0112"/>
    <w:lvl w:ilvl="0" w:tplc="578E6BC0">
      <w:start w:val="1"/>
      <w:numFmt w:val="bullet"/>
      <w:lvlText w:val="●"/>
      <w:lvlJc w:val="left"/>
      <w:pPr>
        <w:ind w:left="720" w:hanging="360"/>
      </w:pPr>
    </w:lvl>
    <w:lvl w:ilvl="1" w:tplc="20D26586">
      <w:start w:val="1"/>
      <w:numFmt w:val="bullet"/>
      <w:lvlText w:val="○"/>
      <w:lvlJc w:val="left"/>
      <w:pPr>
        <w:ind w:left="1440" w:hanging="360"/>
      </w:pPr>
    </w:lvl>
    <w:lvl w:ilvl="2" w:tplc="49B4DFAA">
      <w:start w:val="1"/>
      <w:numFmt w:val="bullet"/>
      <w:lvlText w:val="■"/>
      <w:lvlJc w:val="left"/>
      <w:pPr>
        <w:ind w:left="2160" w:hanging="360"/>
      </w:pPr>
    </w:lvl>
    <w:lvl w:ilvl="3" w:tplc="048475F4">
      <w:start w:val="1"/>
      <w:numFmt w:val="bullet"/>
      <w:lvlText w:val="●"/>
      <w:lvlJc w:val="left"/>
      <w:pPr>
        <w:ind w:left="2880" w:hanging="360"/>
      </w:pPr>
    </w:lvl>
    <w:lvl w:ilvl="4" w:tplc="7B52764C">
      <w:start w:val="1"/>
      <w:numFmt w:val="bullet"/>
      <w:lvlText w:val="○"/>
      <w:lvlJc w:val="left"/>
      <w:pPr>
        <w:ind w:left="3600" w:hanging="360"/>
      </w:pPr>
    </w:lvl>
    <w:lvl w:ilvl="5" w:tplc="E6F61F20">
      <w:start w:val="1"/>
      <w:numFmt w:val="bullet"/>
      <w:lvlText w:val="■"/>
      <w:lvlJc w:val="left"/>
      <w:pPr>
        <w:ind w:left="4320" w:hanging="360"/>
      </w:pPr>
    </w:lvl>
    <w:lvl w:ilvl="6" w:tplc="86EA48BE">
      <w:start w:val="1"/>
      <w:numFmt w:val="bullet"/>
      <w:lvlText w:val="●"/>
      <w:lvlJc w:val="left"/>
      <w:pPr>
        <w:ind w:left="5040" w:hanging="360"/>
      </w:pPr>
    </w:lvl>
    <w:lvl w:ilvl="7" w:tplc="2B721590">
      <w:start w:val="1"/>
      <w:numFmt w:val="bullet"/>
      <w:lvlText w:val="●"/>
      <w:lvlJc w:val="left"/>
      <w:pPr>
        <w:ind w:left="5760" w:hanging="360"/>
      </w:pPr>
    </w:lvl>
    <w:lvl w:ilvl="8" w:tplc="A32EC4D0">
      <w:start w:val="1"/>
      <w:numFmt w:val="bullet"/>
      <w:lvlText w:val="●"/>
      <w:lvlJc w:val="left"/>
      <w:pPr>
        <w:ind w:left="6480" w:hanging="360"/>
      </w:pPr>
    </w:lvl>
  </w:abstractNum>
  <w:abstractNum w:abstractNumId="1" w15:restartNumberingAfterBreak="0">
    <w:nsid w:val="398C6358"/>
    <w:multiLevelType w:val="hybridMultilevel"/>
    <w:tmpl w:val="C5D657F4"/>
    <w:lvl w:ilvl="0" w:tplc="BB9007EE">
      <w:start w:val="1"/>
      <w:numFmt w:val="bullet"/>
      <w:lvlText w:val="•"/>
      <w:lvlJc w:val="left"/>
      <w:pPr>
        <w:ind w:left="720" w:hanging="360"/>
      </w:pPr>
    </w:lvl>
    <w:lvl w:ilvl="1" w:tplc="97EE2DA0">
      <w:numFmt w:val="decimal"/>
      <w:lvlText w:val=""/>
      <w:lvlJc w:val="left"/>
    </w:lvl>
    <w:lvl w:ilvl="2" w:tplc="A5926D4A">
      <w:numFmt w:val="decimal"/>
      <w:lvlText w:val=""/>
      <w:lvlJc w:val="left"/>
    </w:lvl>
    <w:lvl w:ilvl="3" w:tplc="536857C2">
      <w:numFmt w:val="decimal"/>
      <w:lvlText w:val=""/>
      <w:lvlJc w:val="left"/>
    </w:lvl>
    <w:lvl w:ilvl="4" w:tplc="2132DB78">
      <w:numFmt w:val="decimal"/>
      <w:lvlText w:val=""/>
      <w:lvlJc w:val="left"/>
    </w:lvl>
    <w:lvl w:ilvl="5" w:tplc="1FB26126">
      <w:numFmt w:val="decimal"/>
      <w:lvlText w:val=""/>
      <w:lvlJc w:val="left"/>
    </w:lvl>
    <w:lvl w:ilvl="6" w:tplc="4574C358">
      <w:numFmt w:val="decimal"/>
      <w:lvlText w:val=""/>
      <w:lvlJc w:val="left"/>
    </w:lvl>
    <w:lvl w:ilvl="7" w:tplc="826E38F2">
      <w:numFmt w:val="decimal"/>
      <w:lvlText w:val=""/>
      <w:lvlJc w:val="left"/>
    </w:lvl>
    <w:lvl w:ilvl="8" w:tplc="01BA875A">
      <w:numFmt w:val="decimal"/>
      <w:lvlText w:val=""/>
      <w:lvlJc w:val="left"/>
    </w:lvl>
  </w:abstractNum>
  <w:abstractNum w:abstractNumId="2" w15:restartNumberingAfterBreak="0">
    <w:nsid w:val="4B8335BE"/>
    <w:multiLevelType w:val="hybridMultilevel"/>
    <w:tmpl w:val="D7E888C4"/>
    <w:lvl w:ilvl="0" w:tplc="65D651FE">
      <w:start w:val="1"/>
      <w:numFmt w:val="decimal"/>
      <w:lvlText w:val="%1."/>
      <w:lvlJc w:val="left"/>
      <w:pPr>
        <w:ind w:left="720" w:hanging="360"/>
      </w:pPr>
    </w:lvl>
    <w:lvl w:ilvl="1" w:tplc="EFFAF636">
      <w:numFmt w:val="decimal"/>
      <w:lvlText w:val=""/>
      <w:lvlJc w:val="left"/>
    </w:lvl>
    <w:lvl w:ilvl="2" w:tplc="046AC21C">
      <w:numFmt w:val="decimal"/>
      <w:lvlText w:val=""/>
      <w:lvlJc w:val="left"/>
    </w:lvl>
    <w:lvl w:ilvl="3" w:tplc="638448A4">
      <w:numFmt w:val="decimal"/>
      <w:lvlText w:val=""/>
      <w:lvlJc w:val="left"/>
    </w:lvl>
    <w:lvl w:ilvl="4" w:tplc="09382ECC">
      <w:numFmt w:val="decimal"/>
      <w:lvlText w:val=""/>
      <w:lvlJc w:val="left"/>
    </w:lvl>
    <w:lvl w:ilvl="5" w:tplc="C38C675E">
      <w:numFmt w:val="decimal"/>
      <w:lvlText w:val=""/>
      <w:lvlJc w:val="left"/>
    </w:lvl>
    <w:lvl w:ilvl="6" w:tplc="DE3A13E6">
      <w:numFmt w:val="decimal"/>
      <w:lvlText w:val=""/>
      <w:lvlJc w:val="left"/>
    </w:lvl>
    <w:lvl w:ilvl="7" w:tplc="C20603E0">
      <w:numFmt w:val="decimal"/>
      <w:lvlText w:val=""/>
      <w:lvlJc w:val="left"/>
    </w:lvl>
    <w:lvl w:ilvl="8" w:tplc="1B4A243C">
      <w:numFmt w:val="decimal"/>
      <w:lvlText w:val=""/>
      <w:lvlJc w:val="left"/>
    </w:lvl>
  </w:abstractNum>
  <w:num w:numId="1" w16cid:durableId="1524241917">
    <w:abstractNumId w:val="0"/>
    <w:lvlOverride w:ilvl="0">
      <w:startOverride w:val="1"/>
    </w:lvlOverride>
  </w:num>
  <w:num w:numId="2" w16cid:durableId="19694283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37"/>
    <w:rsid w:val="00185837"/>
    <w:rsid w:val="001F0906"/>
    <w:rsid w:val="0082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E09F83"/>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2026-05-11T17:22:00Z</dcterms:created>
  <dcterms:modified xsi:type="dcterms:W3CDTF">2026-05-11T17:22:00Z</dcterms:modified>
</cp:coreProperties>
</file>