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8C1A9" w14:textId="77777777" w:rsidR="00510508" w:rsidRDefault="00510508">
      <w:pPr>
        <w:spacing w:after="80"/>
      </w:pPr>
    </w:p>
    <w:p w14:paraId="6BCA59D1" w14:textId="77777777" w:rsidR="00510508" w:rsidRDefault="00000000">
      <w:pPr>
        <w:spacing w:before="80" w:after="40"/>
      </w:pPr>
      <w:r>
        <w:rPr>
          <w:b/>
          <w:bCs/>
          <w:color w:val="1B3A6B"/>
          <w:sz w:val="46"/>
          <w:szCs w:val="46"/>
        </w:rPr>
        <w:t>Conflicts of Interest Policy</w:t>
      </w:r>
    </w:p>
    <w:p w14:paraId="4CE49692" w14:textId="77777777" w:rsidR="00510508" w:rsidRDefault="00000000">
      <w:pPr>
        <w:pBdr>
          <w:bottom w:val="single" w:sz="8" w:space="4" w:color="2E75B6"/>
        </w:pBdr>
        <w:spacing w:after="200"/>
      </w:pPr>
      <w:r>
        <w:rPr>
          <w:color w:val="555555"/>
        </w:rPr>
        <w:t>TLSPH LTD  |  The London School of Public Health</w:t>
      </w:r>
    </w:p>
    <w:p w14:paraId="78712B63" w14:textId="77777777" w:rsidR="00510508" w:rsidRDefault="0051050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40A37B3D"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89A78B1" w14:textId="77777777" w:rsidR="00510508"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914DE5D" w14:textId="77777777" w:rsidR="00510508" w:rsidRDefault="00000000">
            <w:r>
              <w:rPr>
                <w:sz w:val="20"/>
                <w:szCs w:val="20"/>
              </w:rPr>
              <w:t>TLSPH-POL-013</w:t>
            </w:r>
          </w:p>
        </w:tc>
      </w:tr>
    </w:tbl>
    <w:p w14:paraId="5ABBAAC0" w14:textId="77777777" w:rsidR="00510508" w:rsidRDefault="0051050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6F0E369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C926E8D" w14:textId="77777777" w:rsidR="00510508"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8A7F927" w14:textId="77777777" w:rsidR="00510508" w:rsidRDefault="00000000">
            <w:r>
              <w:rPr>
                <w:sz w:val="20"/>
                <w:szCs w:val="20"/>
              </w:rPr>
              <w:t>1.0</w:t>
            </w:r>
          </w:p>
        </w:tc>
      </w:tr>
    </w:tbl>
    <w:p w14:paraId="0F512E80" w14:textId="77777777" w:rsidR="00510508" w:rsidRDefault="0051050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4D0FC5DD"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871B0DA" w14:textId="77777777" w:rsidR="00510508"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C9A788D" w14:textId="77777777" w:rsidR="00510508" w:rsidRDefault="00000000">
            <w:r>
              <w:rPr>
                <w:sz w:val="20"/>
                <w:szCs w:val="20"/>
              </w:rPr>
              <w:t>October 2025</w:t>
            </w:r>
          </w:p>
        </w:tc>
      </w:tr>
    </w:tbl>
    <w:p w14:paraId="712686E0" w14:textId="77777777" w:rsidR="00510508" w:rsidRDefault="0051050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497D833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E11262D" w14:textId="77777777" w:rsidR="00510508"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2F26E48" w14:textId="77777777" w:rsidR="00510508" w:rsidRDefault="00000000">
            <w:r>
              <w:rPr>
                <w:sz w:val="20"/>
                <w:szCs w:val="20"/>
              </w:rPr>
              <w:t>October 2026</w:t>
            </w:r>
          </w:p>
        </w:tc>
      </w:tr>
    </w:tbl>
    <w:p w14:paraId="6F1FC49F" w14:textId="77777777" w:rsidR="00510508" w:rsidRDefault="0051050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7137C09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0C6FA54" w14:textId="77777777" w:rsidR="00510508"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C7E3803" w14:textId="77777777" w:rsidR="00510508" w:rsidRDefault="00000000">
            <w:r>
              <w:rPr>
                <w:sz w:val="20"/>
                <w:szCs w:val="20"/>
              </w:rPr>
              <w:t>Senior Leadership Team</w:t>
            </w:r>
          </w:p>
        </w:tc>
      </w:tr>
    </w:tbl>
    <w:p w14:paraId="02E3C06A" w14:textId="77777777" w:rsidR="00510508" w:rsidRDefault="0051050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52FAA721"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6596378" w14:textId="77777777" w:rsidR="00510508"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E49DEF1" w14:textId="77777777" w:rsidR="00510508" w:rsidRDefault="00000000">
            <w:r>
              <w:rPr>
                <w:sz w:val="20"/>
                <w:szCs w:val="20"/>
              </w:rPr>
              <w:t>All staff, tutors, directors, contractors and associated persons of TLSPH LTD</w:t>
            </w:r>
          </w:p>
        </w:tc>
      </w:tr>
    </w:tbl>
    <w:p w14:paraId="74EA862F" w14:textId="77777777" w:rsidR="00510508" w:rsidRDefault="0051050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5072472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42ABA2C" w14:textId="77777777" w:rsidR="00510508"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63528FD" w14:textId="77777777" w:rsidR="00510508" w:rsidRDefault="00000000">
            <w:r>
              <w:rPr>
                <w:sz w:val="20"/>
                <w:szCs w:val="20"/>
              </w:rPr>
              <w:t>Companies Act 2006 (ss.170–177 — Directors' Duties) | Bribery Act 2010 | Equality Act 2010 | UK General Data Protection Regulation (UK GDPR) | Ofqual General Conditions of Recognition | Institute of Business Ethics (IBE) guidance on conflicts of interest</w:t>
            </w:r>
          </w:p>
        </w:tc>
      </w:tr>
    </w:tbl>
    <w:p w14:paraId="4B217E4F" w14:textId="77777777" w:rsidR="00510508" w:rsidRDefault="00510508">
      <w:pPr>
        <w:spacing w:after="80"/>
      </w:pPr>
    </w:p>
    <w:p w14:paraId="5EF78B4B" w14:textId="77777777" w:rsidR="00510508" w:rsidRDefault="0051050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10508" w14:paraId="42EF2476"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59A799FB" w14:textId="77777777" w:rsidR="00510508" w:rsidRDefault="00000000">
            <w:pPr>
              <w:spacing w:after="60"/>
            </w:pPr>
            <w:r>
              <w:rPr>
                <w:b/>
                <w:bCs/>
                <w:color w:val="1A7A4A"/>
                <w:sz w:val="21"/>
                <w:szCs w:val="21"/>
              </w:rPr>
              <w:t>Core Principle</w:t>
            </w:r>
          </w:p>
          <w:p w14:paraId="0DCB14F1" w14:textId="77777777" w:rsidR="00510508" w:rsidRDefault="00000000">
            <w:pPr>
              <w:spacing w:before="10" w:after="10"/>
            </w:pPr>
            <w:r>
              <w:rPr>
                <w:sz w:val="20"/>
                <w:szCs w:val="20"/>
              </w:rPr>
              <w:t>A conflict of interest arises when an individual's personal interests — financial, professional, or personal — could influence, or be perceived to influence, their professional judgement or actions in carrying out their responsibilities for TLSPH. TLSPH is committed to identifying, managing, and, where necessary, eliminating conflicts of interest to protect the integrity of its operations, the fairness of its assessments, and the trust of its students and awarding bodies.</w:t>
            </w:r>
          </w:p>
        </w:tc>
      </w:tr>
    </w:tbl>
    <w:p w14:paraId="6B56A492" w14:textId="77777777" w:rsidR="00510508" w:rsidRDefault="00510508">
      <w:pPr>
        <w:spacing w:after="80"/>
      </w:pPr>
    </w:p>
    <w:p w14:paraId="75F46FD8" w14:textId="77777777" w:rsidR="00510508" w:rsidRDefault="00000000">
      <w:pPr>
        <w:pBdr>
          <w:bottom w:val="single" w:sz="6" w:space="4" w:color="2E75B6"/>
        </w:pBdr>
        <w:spacing w:before="320" w:after="120"/>
      </w:pPr>
      <w:r>
        <w:rPr>
          <w:b/>
          <w:bCs/>
          <w:color w:val="1B3A6B"/>
          <w:sz w:val="28"/>
          <w:szCs w:val="28"/>
        </w:rPr>
        <w:t>1. Purpose and Scope</w:t>
      </w:r>
    </w:p>
    <w:p w14:paraId="3D73A695" w14:textId="77777777" w:rsidR="00510508" w:rsidRDefault="00000000">
      <w:pPr>
        <w:spacing w:before="60" w:after="100"/>
      </w:pPr>
      <w:r>
        <w:t>This policy sets out TLSPH LTD's (referred to as "TLSPH") approach to identifying and managing conflicts of interest across all its activities. It applies to all directors, employees, tutors, assessors, contractors, and any person acting in a decision-making capacity on behalf of TLSPH.</w:t>
      </w:r>
    </w:p>
    <w:p w14:paraId="18CA7860" w14:textId="77777777" w:rsidR="00510508" w:rsidRDefault="00000000">
      <w:pPr>
        <w:spacing w:before="60" w:after="100"/>
      </w:pPr>
      <w:r>
        <w:t>Conflicts of interest are particularly significant in an educational context because they can compromise the integrity of assessment, undermine trust in qualifications, and create reputational and legal risk. Ofqual's General Conditions of Recognition require approved centres to identify and manage conflicts of interest in assessment.</w:t>
      </w:r>
    </w:p>
    <w:p w14:paraId="2A78B0FA" w14:textId="77777777" w:rsidR="00510508" w:rsidRDefault="00510508">
      <w:pPr>
        <w:spacing w:after="80"/>
      </w:pPr>
    </w:p>
    <w:p w14:paraId="732A1FD7" w14:textId="77777777" w:rsidR="00510508" w:rsidRDefault="00000000">
      <w:pPr>
        <w:pBdr>
          <w:bottom w:val="single" w:sz="6" w:space="4" w:color="2E75B6"/>
        </w:pBdr>
        <w:spacing w:before="320" w:after="120"/>
      </w:pPr>
      <w:r>
        <w:rPr>
          <w:b/>
          <w:bCs/>
          <w:color w:val="1B3A6B"/>
          <w:sz w:val="28"/>
          <w:szCs w:val="28"/>
        </w:rPr>
        <w:t>2. UK Legal Framework</w:t>
      </w:r>
    </w:p>
    <w:p w14:paraId="32145DB6" w14:textId="77777777" w:rsidR="00510508" w:rsidRDefault="00000000">
      <w:pPr>
        <w:spacing w:before="220" w:after="80"/>
      </w:pPr>
      <w:r>
        <w:rPr>
          <w:b/>
          <w:bCs/>
          <w:color w:val="2E75B6"/>
          <w:sz w:val="24"/>
          <w:szCs w:val="24"/>
        </w:rPr>
        <w:lastRenderedPageBreak/>
        <w:t>2.1 Companies Act 2006 — Directors' Duties</w:t>
      </w:r>
    </w:p>
    <w:p w14:paraId="525BEA74" w14:textId="77777777" w:rsidR="00510508" w:rsidRDefault="00000000">
      <w:pPr>
        <w:spacing w:before="60" w:after="100"/>
      </w:pPr>
      <w:r>
        <w:t>Under sections 170 to 177 of the Companies Act 2006, directors of TLSPH owe statutory duties to the company, including:</w:t>
      </w:r>
    </w:p>
    <w:p w14:paraId="2B3E4E17" w14:textId="77777777" w:rsidR="00510508" w:rsidRDefault="00000000">
      <w:pPr>
        <w:pStyle w:val="ListParagraph"/>
        <w:numPr>
          <w:ilvl w:val="0"/>
          <w:numId w:val="2"/>
        </w:numPr>
        <w:spacing w:before="40" w:after="40"/>
      </w:pPr>
      <w:r>
        <w:t>Section 175 — Duty to avoid conflicts of interest: a director must avoid situations where they have a direct or indirect interest that conflicts with the interests of the company</w:t>
      </w:r>
    </w:p>
    <w:p w14:paraId="10469C0E" w14:textId="77777777" w:rsidR="00510508" w:rsidRDefault="00000000">
      <w:pPr>
        <w:pStyle w:val="ListParagraph"/>
        <w:numPr>
          <w:ilvl w:val="0"/>
          <w:numId w:val="2"/>
        </w:numPr>
        <w:spacing w:before="40" w:after="40"/>
      </w:pPr>
      <w:r>
        <w:t>Section 176 — Duty not to accept benefits from third parties: a director must not accept any benefit from a third party that is conferred by reason of their directorship</w:t>
      </w:r>
    </w:p>
    <w:p w14:paraId="7FDD7470" w14:textId="77777777" w:rsidR="00510508" w:rsidRDefault="00000000">
      <w:pPr>
        <w:pStyle w:val="ListParagraph"/>
        <w:numPr>
          <w:ilvl w:val="0"/>
          <w:numId w:val="2"/>
        </w:numPr>
        <w:spacing w:before="40" w:after="40"/>
      </w:pPr>
      <w:r>
        <w:t>Section 177 — Duty to declare interest in proposed transaction: a director must declare any interest in a proposed transaction or arrangement with the company</w:t>
      </w:r>
    </w:p>
    <w:p w14:paraId="6DC8E518" w14:textId="77777777" w:rsidR="00510508" w:rsidRDefault="00510508">
      <w:pPr>
        <w:spacing w:after="80"/>
      </w:pPr>
    </w:p>
    <w:p w14:paraId="4F09C606" w14:textId="77777777" w:rsidR="00510508" w:rsidRDefault="00000000">
      <w:pPr>
        <w:spacing w:before="60" w:after="100"/>
      </w:pPr>
      <w:r>
        <w:t>These duties apply to directors of TLSPH and are in addition to the requirements of this policy.</w:t>
      </w:r>
    </w:p>
    <w:p w14:paraId="44FEBB35" w14:textId="77777777" w:rsidR="00510508" w:rsidRDefault="00000000">
      <w:pPr>
        <w:spacing w:before="220" w:after="80"/>
      </w:pPr>
      <w:r>
        <w:rPr>
          <w:b/>
          <w:bCs/>
          <w:color w:val="2E75B6"/>
          <w:sz w:val="24"/>
          <w:szCs w:val="24"/>
        </w:rPr>
        <w:t>2.2 Ofqual General Conditions of Recognition</w:t>
      </w:r>
    </w:p>
    <w:p w14:paraId="7B60B0B9" w14:textId="77777777" w:rsidR="00510508" w:rsidRDefault="00000000">
      <w:pPr>
        <w:spacing w:before="60" w:after="100"/>
      </w:pPr>
      <w:r>
        <w:t>As an approved centre, TLSPH must comply with Ofqual's General Conditions of Recognition, which require centres to manage conflicts of interest in assessment to ensure that assessment decisions are not improperly influenced by personal relationships, financial interests, or other factors unrelated to learner performance.</w:t>
      </w:r>
    </w:p>
    <w:p w14:paraId="4768AC8E" w14:textId="77777777" w:rsidR="00510508" w:rsidRDefault="00510508">
      <w:pPr>
        <w:spacing w:after="80"/>
      </w:pPr>
    </w:p>
    <w:p w14:paraId="15B0AD76" w14:textId="77777777" w:rsidR="00510508" w:rsidRDefault="00000000">
      <w:pPr>
        <w:pBdr>
          <w:bottom w:val="single" w:sz="6" w:space="4" w:color="2E75B6"/>
        </w:pBdr>
        <w:spacing w:before="320" w:after="120"/>
      </w:pPr>
      <w:r>
        <w:rPr>
          <w:b/>
          <w:bCs/>
          <w:color w:val="1B3A6B"/>
          <w:sz w:val="28"/>
          <w:szCs w:val="28"/>
        </w:rPr>
        <w:t>3. What Constitutes a Conflict of Interest</w:t>
      </w:r>
    </w:p>
    <w:p w14:paraId="35FB5498" w14:textId="77777777" w:rsidR="00510508" w:rsidRDefault="00000000">
      <w:pPr>
        <w:spacing w:before="60" w:after="100"/>
      </w:pPr>
      <w:r>
        <w:t>A conflict of interest may be actual, potential, or perceived. TLSPH requires disclosure of all three. Common examples in the TLSPH context include:</w:t>
      </w:r>
    </w:p>
    <w:p w14:paraId="05E92510" w14:textId="77777777" w:rsidR="00510508" w:rsidRDefault="00000000">
      <w:pPr>
        <w:spacing w:before="220" w:after="80"/>
      </w:pPr>
      <w:r>
        <w:rPr>
          <w:b/>
          <w:bCs/>
          <w:color w:val="2E75B6"/>
          <w:sz w:val="24"/>
          <w:szCs w:val="24"/>
        </w:rPr>
        <w:t>3.1 Assessment Conflicts</w:t>
      </w:r>
    </w:p>
    <w:p w14:paraId="5C3F821F" w14:textId="77777777" w:rsidR="00510508" w:rsidRDefault="00000000">
      <w:pPr>
        <w:pStyle w:val="ListParagraph"/>
        <w:numPr>
          <w:ilvl w:val="0"/>
          <w:numId w:val="2"/>
        </w:numPr>
        <w:spacing w:before="40" w:after="40"/>
      </w:pPr>
      <w:r>
        <w:t>A tutor or assessor marking, moderating, or providing feedback on the work of a family member, close friend, or romantic partner</w:t>
      </w:r>
    </w:p>
    <w:p w14:paraId="0B6FB8A8" w14:textId="77777777" w:rsidR="00510508" w:rsidRDefault="00000000">
      <w:pPr>
        <w:pStyle w:val="ListParagraph"/>
        <w:numPr>
          <w:ilvl w:val="0"/>
          <w:numId w:val="2"/>
        </w:numPr>
        <w:spacing w:before="40" w:after="40"/>
      </w:pPr>
      <w:r>
        <w:t>An assessor having a financial interest in a student's outcome (e.g. payment contingent on pass rates)</w:t>
      </w:r>
    </w:p>
    <w:p w14:paraId="580BACE4" w14:textId="77777777" w:rsidR="00510508" w:rsidRDefault="00000000">
      <w:pPr>
        <w:pStyle w:val="ListParagraph"/>
        <w:numPr>
          <w:ilvl w:val="0"/>
          <w:numId w:val="2"/>
        </w:numPr>
        <w:spacing w:before="40" w:after="40"/>
      </w:pPr>
      <w:r>
        <w:t>An internal verifier reviewing work they have personally taught or supported</w:t>
      </w:r>
    </w:p>
    <w:p w14:paraId="52F498F1" w14:textId="77777777" w:rsidR="00510508" w:rsidRDefault="00000000">
      <w:pPr>
        <w:spacing w:before="220" w:after="80"/>
      </w:pPr>
      <w:r>
        <w:rPr>
          <w:b/>
          <w:bCs/>
          <w:color w:val="2E75B6"/>
          <w:sz w:val="24"/>
          <w:szCs w:val="24"/>
        </w:rPr>
        <w:t>3.2 Procurement and Supplier Conflicts</w:t>
      </w:r>
    </w:p>
    <w:p w14:paraId="0C9C47E5" w14:textId="77777777" w:rsidR="00510508" w:rsidRDefault="00000000">
      <w:pPr>
        <w:pStyle w:val="ListParagraph"/>
        <w:numPr>
          <w:ilvl w:val="0"/>
          <w:numId w:val="2"/>
        </w:numPr>
        <w:spacing w:before="40" w:after="40"/>
      </w:pPr>
      <w:r>
        <w:t>A staff member involved in selecting a supplier in which they, or a close associate, has a financial interest</w:t>
      </w:r>
    </w:p>
    <w:p w14:paraId="627ED6B5" w14:textId="77777777" w:rsidR="00510508" w:rsidRDefault="00000000">
      <w:pPr>
        <w:pStyle w:val="ListParagraph"/>
        <w:numPr>
          <w:ilvl w:val="0"/>
          <w:numId w:val="2"/>
        </w:numPr>
        <w:spacing w:before="40" w:after="40"/>
      </w:pPr>
      <w:r>
        <w:t>Awarding a contract to a company owned by a family member without declaring the relationship</w:t>
      </w:r>
    </w:p>
    <w:p w14:paraId="36FFD8A3" w14:textId="77777777" w:rsidR="00510508" w:rsidRDefault="00000000">
      <w:pPr>
        <w:pStyle w:val="ListParagraph"/>
        <w:numPr>
          <w:ilvl w:val="0"/>
          <w:numId w:val="2"/>
        </w:numPr>
        <w:spacing w:before="40" w:after="40"/>
      </w:pPr>
      <w:r>
        <w:t>Receiving gifts, hospitality, or benefits from a supplier or prospective supplier (see also Anti-Bribery Policy TLSPH-POL-011)</w:t>
      </w:r>
    </w:p>
    <w:p w14:paraId="1026BADC" w14:textId="77777777" w:rsidR="00510508" w:rsidRDefault="00000000">
      <w:pPr>
        <w:spacing w:before="220" w:after="80"/>
      </w:pPr>
      <w:r>
        <w:rPr>
          <w:b/>
          <w:bCs/>
          <w:color w:val="2E75B6"/>
          <w:sz w:val="24"/>
          <w:szCs w:val="24"/>
        </w:rPr>
        <w:t>3.3 External Employment and Business Interests</w:t>
      </w:r>
    </w:p>
    <w:p w14:paraId="38DB5500" w14:textId="77777777" w:rsidR="00510508" w:rsidRDefault="00000000">
      <w:pPr>
        <w:pStyle w:val="ListParagraph"/>
        <w:numPr>
          <w:ilvl w:val="0"/>
          <w:numId w:val="2"/>
        </w:numPr>
        <w:spacing w:before="40" w:after="40"/>
      </w:pPr>
      <w:r>
        <w:t>Undertaking work for a competitor or awarding body that conflicts with TLSPH's interests</w:t>
      </w:r>
    </w:p>
    <w:p w14:paraId="5158BAFD" w14:textId="77777777" w:rsidR="00510508" w:rsidRDefault="00000000">
      <w:pPr>
        <w:pStyle w:val="ListParagraph"/>
        <w:numPr>
          <w:ilvl w:val="0"/>
          <w:numId w:val="2"/>
        </w:numPr>
        <w:spacing w:before="40" w:after="40"/>
      </w:pPr>
      <w:r>
        <w:t>Using TLSPH resources, information, or relationships for personal commercial gain</w:t>
      </w:r>
    </w:p>
    <w:p w14:paraId="540A5B85" w14:textId="77777777" w:rsidR="00510508" w:rsidRDefault="00000000">
      <w:pPr>
        <w:pStyle w:val="ListParagraph"/>
        <w:numPr>
          <w:ilvl w:val="0"/>
          <w:numId w:val="2"/>
        </w:numPr>
        <w:spacing w:before="40" w:after="40"/>
      </w:pPr>
      <w:r>
        <w:t>Holding a directorship or significant shareholding in an organisation that is in competition with, or does business with, TLSPH</w:t>
      </w:r>
    </w:p>
    <w:p w14:paraId="2C65CE77" w14:textId="77777777" w:rsidR="00510508" w:rsidRDefault="00000000">
      <w:pPr>
        <w:spacing w:before="220" w:after="80"/>
      </w:pPr>
      <w:r>
        <w:rPr>
          <w:b/>
          <w:bCs/>
          <w:color w:val="2E75B6"/>
          <w:sz w:val="24"/>
          <w:szCs w:val="24"/>
        </w:rPr>
        <w:t>3.4 Governance Conflicts</w:t>
      </w:r>
    </w:p>
    <w:p w14:paraId="58AE7A34" w14:textId="77777777" w:rsidR="00510508" w:rsidRDefault="00000000">
      <w:pPr>
        <w:pStyle w:val="ListParagraph"/>
        <w:numPr>
          <w:ilvl w:val="0"/>
          <w:numId w:val="2"/>
        </w:numPr>
        <w:spacing w:before="40" w:after="40"/>
      </w:pPr>
      <w:r>
        <w:t>A director participating in a board decision in which they have a personal financial interest</w:t>
      </w:r>
    </w:p>
    <w:p w14:paraId="389307F7" w14:textId="77777777" w:rsidR="00510508" w:rsidRDefault="00000000">
      <w:pPr>
        <w:pStyle w:val="ListParagraph"/>
        <w:numPr>
          <w:ilvl w:val="0"/>
          <w:numId w:val="2"/>
        </w:numPr>
        <w:spacing w:before="40" w:after="40"/>
      </w:pPr>
      <w:r>
        <w:lastRenderedPageBreak/>
        <w:t>A director failing to declare a material interest in a transaction as required by section 177 of the Companies Act 2006</w:t>
      </w:r>
    </w:p>
    <w:p w14:paraId="7BA557DB" w14:textId="77777777" w:rsidR="00510508" w:rsidRDefault="00510508">
      <w:pPr>
        <w:spacing w:after="80"/>
      </w:pPr>
    </w:p>
    <w:p w14:paraId="1128778E" w14:textId="77777777" w:rsidR="00510508" w:rsidRDefault="00000000">
      <w:pPr>
        <w:pBdr>
          <w:bottom w:val="single" w:sz="6" w:space="4" w:color="2E75B6"/>
        </w:pBdr>
        <w:spacing w:before="320" w:after="120"/>
      </w:pPr>
      <w:r>
        <w:rPr>
          <w:b/>
          <w:bCs/>
          <w:color w:val="1B3A6B"/>
          <w:sz w:val="28"/>
          <w:szCs w:val="28"/>
        </w:rPr>
        <w:t>4. Declaration of Interests</w:t>
      </w:r>
    </w:p>
    <w:p w14:paraId="587F33F6" w14:textId="77777777" w:rsidR="00510508" w:rsidRDefault="00000000">
      <w:pPr>
        <w:spacing w:before="60" w:after="100"/>
      </w:pPr>
      <w:r>
        <w:t>All staff, tutors, directors, and contractors are required to:</w:t>
      </w:r>
    </w:p>
    <w:p w14:paraId="22F9591C" w14:textId="77777777" w:rsidR="00510508" w:rsidRDefault="00000000">
      <w:pPr>
        <w:pStyle w:val="ListParagraph"/>
        <w:numPr>
          <w:ilvl w:val="0"/>
          <w:numId w:val="2"/>
        </w:numPr>
        <w:spacing w:before="40" w:after="40"/>
      </w:pPr>
      <w:r>
        <w:t>Declare any actual, potential, or perceived conflict of interest as soon as it arises, or before undertaking any activity that could give rise to one</w:t>
      </w:r>
    </w:p>
    <w:p w14:paraId="52DC3A7F" w14:textId="77777777" w:rsidR="00510508" w:rsidRDefault="00000000">
      <w:pPr>
        <w:pStyle w:val="ListParagraph"/>
        <w:numPr>
          <w:ilvl w:val="0"/>
          <w:numId w:val="2"/>
        </w:numPr>
        <w:spacing w:before="40" w:after="40"/>
      </w:pPr>
      <w:r>
        <w:t>Submit a Declaration of Interest to the Senior Leadership Team at the point of appointment and upon any material change in circumstances</w:t>
      </w:r>
    </w:p>
    <w:p w14:paraId="65BD043C" w14:textId="77777777" w:rsidR="00510508" w:rsidRDefault="00000000">
      <w:pPr>
        <w:pStyle w:val="ListParagraph"/>
        <w:numPr>
          <w:ilvl w:val="0"/>
          <w:numId w:val="2"/>
        </w:numPr>
        <w:spacing w:before="40" w:after="40"/>
      </w:pPr>
      <w:r>
        <w:t>Update their declaration annually as part of the policy review cycle</w:t>
      </w:r>
    </w:p>
    <w:p w14:paraId="1F58536E" w14:textId="77777777" w:rsidR="00510508" w:rsidRDefault="00510508">
      <w:pPr>
        <w:spacing w:after="80"/>
      </w:pPr>
    </w:p>
    <w:p w14:paraId="1A857070" w14:textId="77777777" w:rsidR="00510508" w:rsidRDefault="00000000">
      <w:pPr>
        <w:spacing w:before="60" w:after="100"/>
      </w:pPr>
      <w:r>
        <w:t>Declarations must be submitted in writing to info@thelondonschoolofpublichealth.com, marked 'Declaration of Interest'. All declarations are recorded in the TLSPH Conflicts of Interest Register, maintained by the Senior Leadership Team.</w:t>
      </w:r>
    </w:p>
    <w:p w14:paraId="0C374B7D" w14:textId="77777777" w:rsidR="00510508" w:rsidRDefault="0051050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10508" w14:paraId="6EFADD2D"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4057A2DF" w14:textId="77777777" w:rsidR="00510508" w:rsidRDefault="00000000">
            <w:pPr>
              <w:spacing w:after="60"/>
            </w:pPr>
            <w:r>
              <w:rPr>
                <w:b/>
                <w:bCs/>
                <w:color w:val="D4720A"/>
                <w:sz w:val="21"/>
                <w:szCs w:val="21"/>
              </w:rPr>
              <w:t>Assessment Declarations</w:t>
            </w:r>
          </w:p>
          <w:p w14:paraId="7D102225" w14:textId="77777777" w:rsidR="00510508" w:rsidRDefault="00000000">
            <w:pPr>
              <w:spacing w:before="10" w:after="10"/>
            </w:pPr>
            <w:r>
              <w:rPr>
                <w:sz w:val="20"/>
                <w:szCs w:val="20"/>
              </w:rPr>
              <w:t>Any tutor, assessor, or internal verifier who becomes aware of a potential conflict in relation to a specific learner's work must declare this to the Senior Leadership Team before undertaking any assessment activity. Undisclosed assessment conflicts are a breach of Ofqual's General Conditions of Recognition and may result in the invalidation of affected assessments.</w:t>
            </w:r>
          </w:p>
        </w:tc>
      </w:tr>
    </w:tbl>
    <w:p w14:paraId="2903EB61" w14:textId="77777777" w:rsidR="00510508" w:rsidRDefault="00510508">
      <w:pPr>
        <w:spacing w:after="80"/>
      </w:pPr>
    </w:p>
    <w:p w14:paraId="1669AE99" w14:textId="77777777" w:rsidR="00510508" w:rsidRDefault="00000000">
      <w:pPr>
        <w:pBdr>
          <w:bottom w:val="single" w:sz="6" w:space="4" w:color="2E75B6"/>
        </w:pBdr>
        <w:spacing w:before="320" w:after="120"/>
      </w:pPr>
      <w:r>
        <w:rPr>
          <w:b/>
          <w:bCs/>
          <w:color w:val="1B3A6B"/>
          <w:sz w:val="28"/>
          <w:szCs w:val="28"/>
        </w:rPr>
        <w:t>5. Managing Declared Conflicts</w:t>
      </w:r>
    </w:p>
    <w:p w14:paraId="6F5BEC8F" w14:textId="77777777" w:rsidR="00510508" w:rsidRDefault="00000000">
      <w:pPr>
        <w:spacing w:before="60" w:after="100"/>
      </w:pPr>
      <w:r>
        <w:t>Upon receipt of a declaration, the Senior Leadership Team will determine the appropriate management action. Options include:</w:t>
      </w:r>
    </w:p>
    <w:p w14:paraId="348F2701" w14:textId="77777777" w:rsidR="00510508" w:rsidRDefault="00000000">
      <w:pPr>
        <w:pStyle w:val="ListParagraph"/>
        <w:numPr>
          <w:ilvl w:val="0"/>
          <w:numId w:val="2"/>
        </w:numPr>
        <w:spacing w:before="40" w:after="40"/>
      </w:pPr>
      <w:r>
        <w:t>Exclusion — the individual is excluded from the specific activity, decision, or assessment giving rise to the conflict</w:t>
      </w:r>
    </w:p>
    <w:p w14:paraId="72D83158" w14:textId="77777777" w:rsidR="00510508" w:rsidRDefault="00000000">
      <w:pPr>
        <w:pStyle w:val="ListParagraph"/>
        <w:numPr>
          <w:ilvl w:val="0"/>
          <w:numId w:val="2"/>
        </w:numPr>
        <w:spacing w:before="40" w:after="40"/>
      </w:pPr>
      <w:r>
        <w:t>Disclosure and oversight — the conflict is acknowledged and the individual may continue with the activity, subject to enhanced oversight or counter-signatory arrangements</w:t>
      </w:r>
    </w:p>
    <w:p w14:paraId="6AE9F0F5" w14:textId="77777777" w:rsidR="00510508" w:rsidRDefault="00000000">
      <w:pPr>
        <w:pStyle w:val="ListParagraph"/>
        <w:numPr>
          <w:ilvl w:val="0"/>
          <w:numId w:val="2"/>
        </w:numPr>
        <w:spacing w:before="40" w:after="40"/>
      </w:pPr>
      <w:r>
        <w:t>Recusal — the individual withdraws from any discussion or decision relating to the conflicted matter</w:t>
      </w:r>
    </w:p>
    <w:p w14:paraId="2BCDC7BD" w14:textId="77777777" w:rsidR="00510508" w:rsidRDefault="00000000">
      <w:pPr>
        <w:pStyle w:val="ListParagraph"/>
        <w:numPr>
          <w:ilvl w:val="0"/>
          <w:numId w:val="2"/>
        </w:numPr>
        <w:spacing w:before="40" w:after="40"/>
      </w:pPr>
      <w:r>
        <w:t>Resignation or removal — in cases of serious or irresolvable conflict, the individual may be required to resign from a role or be removed from it</w:t>
      </w:r>
    </w:p>
    <w:p w14:paraId="10746452" w14:textId="77777777" w:rsidR="00510508" w:rsidRDefault="00510508">
      <w:pPr>
        <w:spacing w:after="80"/>
      </w:pPr>
    </w:p>
    <w:p w14:paraId="5C395C47" w14:textId="77777777" w:rsidR="00510508" w:rsidRDefault="00000000">
      <w:pPr>
        <w:spacing w:before="60" w:after="100"/>
      </w:pPr>
      <w:r>
        <w:t>The management action taken will be documented in the Conflicts of Interest Register alongside the original declaration.</w:t>
      </w:r>
    </w:p>
    <w:p w14:paraId="1F95FC5E" w14:textId="77777777" w:rsidR="00510508" w:rsidRDefault="00510508">
      <w:pPr>
        <w:spacing w:after="80"/>
      </w:pPr>
    </w:p>
    <w:p w14:paraId="57FF5D31" w14:textId="77777777" w:rsidR="00510508" w:rsidRDefault="00000000">
      <w:pPr>
        <w:pBdr>
          <w:bottom w:val="single" w:sz="6" w:space="4" w:color="2E75B6"/>
        </w:pBdr>
        <w:spacing w:before="320" w:after="120"/>
      </w:pPr>
      <w:r>
        <w:rPr>
          <w:b/>
          <w:bCs/>
          <w:color w:val="1B3A6B"/>
          <w:sz w:val="28"/>
          <w:szCs w:val="28"/>
        </w:rPr>
        <w:t>6. The Conflicts of Interest Register</w:t>
      </w:r>
    </w:p>
    <w:p w14:paraId="7AA6FFBB" w14:textId="77777777" w:rsidR="00510508" w:rsidRDefault="00000000">
      <w:pPr>
        <w:spacing w:before="60" w:after="100"/>
      </w:pPr>
      <w:r>
        <w:t>TLSPH maintains a Conflicts of Interest Register which records:</w:t>
      </w:r>
    </w:p>
    <w:p w14:paraId="73ADAE74" w14:textId="77777777" w:rsidR="00510508" w:rsidRDefault="00000000">
      <w:pPr>
        <w:pStyle w:val="ListParagraph"/>
        <w:numPr>
          <w:ilvl w:val="0"/>
          <w:numId w:val="2"/>
        </w:numPr>
        <w:spacing w:before="40" w:after="40"/>
      </w:pPr>
      <w:r>
        <w:t>The name and role of the person making the declaration</w:t>
      </w:r>
    </w:p>
    <w:p w14:paraId="690A8C5A" w14:textId="77777777" w:rsidR="00510508" w:rsidRDefault="00000000">
      <w:pPr>
        <w:pStyle w:val="ListParagraph"/>
        <w:numPr>
          <w:ilvl w:val="0"/>
          <w:numId w:val="2"/>
        </w:numPr>
        <w:spacing w:before="40" w:after="40"/>
      </w:pPr>
      <w:r>
        <w:t>The nature of the conflict declared</w:t>
      </w:r>
    </w:p>
    <w:p w14:paraId="54B74E68" w14:textId="77777777" w:rsidR="00510508" w:rsidRDefault="00000000">
      <w:pPr>
        <w:pStyle w:val="ListParagraph"/>
        <w:numPr>
          <w:ilvl w:val="0"/>
          <w:numId w:val="2"/>
        </w:numPr>
        <w:spacing w:before="40" w:after="40"/>
      </w:pPr>
      <w:r>
        <w:t>The date of declaration</w:t>
      </w:r>
    </w:p>
    <w:p w14:paraId="1747D356" w14:textId="77777777" w:rsidR="00510508" w:rsidRDefault="00000000">
      <w:pPr>
        <w:pStyle w:val="ListParagraph"/>
        <w:numPr>
          <w:ilvl w:val="0"/>
          <w:numId w:val="2"/>
        </w:numPr>
        <w:spacing w:before="40" w:after="40"/>
      </w:pPr>
      <w:r>
        <w:lastRenderedPageBreak/>
        <w:t>The management action agreed</w:t>
      </w:r>
    </w:p>
    <w:p w14:paraId="39833EC5" w14:textId="77777777" w:rsidR="00510508" w:rsidRDefault="00000000">
      <w:pPr>
        <w:pStyle w:val="ListParagraph"/>
        <w:numPr>
          <w:ilvl w:val="0"/>
          <w:numId w:val="2"/>
        </w:numPr>
        <w:spacing w:before="40" w:after="40"/>
      </w:pPr>
      <w:r>
        <w:t>The outcome and any follow-up actions</w:t>
      </w:r>
    </w:p>
    <w:p w14:paraId="7B0BCBB4" w14:textId="77777777" w:rsidR="00510508" w:rsidRDefault="00510508">
      <w:pPr>
        <w:spacing w:after="80"/>
      </w:pPr>
    </w:p>
    <w:p w14:paraId="0E92A4D1" w14:textId="77777777" w:rsidR="00510508" w:rsidRDefault="00000000">
      <w:pPr>
        <w:spacing w:before="60" w:after="100"/>
      </w:pPr>
      <w:r>
        <w:t>The register is reviewed by the Senior Leadership Team as part of the annual policy review and is available for inspection by Ofqual or the relevant awarding body on request. Personal data in the register is processed in accordance with UK GDPR and the TLSPH Data Retention Policy.</w:t>
      </w:r>
    </w:p>
    <w:p w14:paraId="2AC9931C" w14:textId="77777777" w:rsidR="00510508" w:rsidRDefault="00510508">
      <w:pPr>
        <w:spacing w:after="80"/>
      </w:pPr>
    </w:p>
    <w:p w14:paraId="121D60F5" w14:textId="77777777" w:rsidR="00510508" w:rsidRDefault="00000000">
      <w:pPr>
        <w:pBdr>
          <w:bottom w:val="single" w:sz="6" w:space="4" w:color="2E75B6"/>
        </w:pBdr>
        <w:spacing w:before="320" w:after="120"/>
      </w:pPr>
      <w:r>
        <w:rPr>
          <w:b/>
          <w:bCs/>
          <w:color w:val="1B3A6B"/>
          <w:sz w:val="28"/>
          <w:szCs w:val="28"/>
        </w:rPr>
        <w:t>7. Failure to Declare</w:t>
      </w:r>
    </w:p>
    <w:p w14:paraId="0C1D4AEF" w14:textId="77777777" w:rsidR="00510508" w:rsidRDefault="00000000">
      <w:pPr>
        <w:spacing w:before="60" w:after="100"/>
      </w:pPr>
      <w:r>
        <w:t>Failure to declare a conflict of interest is a serious breach of this policy. Consequences may include:</w:t>
      </w:r>
    </w:p>
    <w:p w14:paraId="5AD06194" w14:textId="77777777" w:rsidR="00510508" w:rsidRDefault="00000000">
      <w:pPr>
        <w:pStyle w:val="ListParagraph"/>
        <w:numPr>
          <w:ilvl w:val="0"/>
          <w:numId w:val="2"/>
        </w:numPr>
        <w:spacing w:before="40" w:after="40"/>
      </w:pPr>
      <w:r>
        <w:t>Formal disciplinary action, up to and including dismissal or termination of contract</w:t>
      </w:r>
    </w:p>
    <w:p w14:paraId="073C51CC" w14:textId="77777777" w:rsidR="00510508" w:rsidRDefault="00000000">
      <w:pPr>
        <w:pStyle w:val="ListParagraph"/>
        <w:numPr>
          <w:ilvl w:val="0"/>
          <w:numId w:val="2"/>
        </w:numPr>
        <w:spacing w:before="40" w:after="40"/>
      </w:pPr>
      <w:r>
        <w:t>Invalidation of any assessment, procurement, or governance decision affected by the undisclosed conflict</w:t>
      </w:r>
    </w:p>
    <w:p w14:paraId="301AA938" w14:textId="77777777" w:rsidR="00510508" w:rsidRDefault="00000000">
      <w:pPr>
        <w:pStyle w:val="ListParagraph"/>
        <w:numPr>
          <w:ilvl w:val="0"/>
          <w:numId w:val="2"/>
        </w:numPr>
        <w:spacing w:before="40" w:after="40"/>
      </w:pPr>
      <w:r>
        <w:t>Notification to Ofqual or the relevant awarding body where the conflict relates to regulated qualifications</w:t>
      </w:r>
    </w:p>
    <w:p w14:paraId="09DAA655" w14:textId="77777777" w:rsidR="00510508" w:rsidRDefault="00000000">
      <w:pPr>
        <w:pStyle w:val="ListParagraph"/>
        <w:numPr>
          <w:ilvl w:val="0"/>
          <w:numId w:val="2"/>
        </w:numPr>
        <w:spacing w:before="40" w:after="40"/>
      </w:pPr>
      <w:r>
        <w:t>Legal liability under the Companies Act 2006 for directors who breach their statutory duties</w:t>
      </w:r>
    </w:p>
    <w:p w14:paraId="242BCE51" w14:textId="77777777" w:rsidR="00510508" w:rsidRDefault="00510508">
      <w:pPr>
        <w:spacing w:after="80"/>
      </w:pPr>
    </w:p>
    <w:p w14:paraId="3F96BF2F" w14:textId="77777777" w:rsidR="00510508" w:rsidRDefault="00000000">
      <w:pPr>
        <w:pBdr>
          <w:bottom w:val="single" w:sz="6" w:space="4" w:color="2E75B6"/>
        </w:pBdr>
        <w:spacing w:before="320" w:after="120"/>
      </w:pPr>
      <w:r>
        <w:rPr>
          <w:b/>
          <w:bCs/>
          <w:color w:val="1B3A6B"/>
          <w:sz w:val="28"/>
          <w:szCs w:val="28"/>
        </w:rPr>
        <w:t>8. Related Policies</w:t>
      </w:r>
    </w:p>
    <w:p w14:paraId="15314C0A" w14:textId="77777777" w:rsidR="00510508" w:rsidRDefault="00000000">
      <w:pPr>
        <w:pStyle w:val="ListParagraph"/>
        <w:numPr>
          <w:ilvl w:val="0"/>
          <w:numId w:val="2"/>
        </w:numPr>
        <w:spacing w:before="40" w:after="40"/>
      </w:pPr>
      <w:r>
        <w:t>Anti-Bribery &amp; Corruption Policy (TLSPH-POL-011)</w:t>
      </w:r>
    </w:p>
    <w:p w14:paraId="1F3EC692" w14:textId="77777777" w:rsidR="00510508" w:rsidRDefault="00000000">
      <w:pPr>
        <w:pStyle w:val="ListParagraph"/>
        <w:numPr>
          <w:ilvl w:val="0"/>
          <w:numId w:val="2"/>
        </w:numPr>
        <w:spacing w:before="40" w:after="40"/>
      </w:pPr>
      <w:r>
        <w:t>Whistleblowing Policy (TLSPH-POL-012)</w:t>
      </w:r>
    </w:p>
    <w:p w14:paraId="46548596" w14:textId="77777777" w:rsidR="00510508" w:rsidRDefault="00000000">
      <w:pPr>
        <w:pStyle w:val="ListParagraph"/>
        <w:numPr>
          <w:ilvl w:val="0"/>
          <w:numId w:val="2"/>
        </w:numPr>
        <w:spacing w:before="40" w:after="40"/>
      </w:pPr>
      <w:r>
        <w:t>Academic Integrity &amp; Plagiarism Policy (TLSPH-POL-006)</w:t>
      </w:r>
    </w:p>
    <w:p w14:paraId="3395AE53" w14:textId="77777777" w:rsidR="00510508" w:rsidRDefault="00000000">
      <w:pPr>
        <w:pStyle w:val="ListParagraph"/>
        <w:numPr>
          <w:ilvl w:val="0"/>
          <w:numId w:val="2"/>
        </w:numPr>
        <w:spacing w:before="40" w:after="40"/>
      </w:pPr>
      <w:r>
        <w:t>Recruitment &amp; Selection Policy (TLSPH-POL-015)</w:t>
      </w:r>
    </w:p>
    <w:p w14:paraId="104D7009" w14:textId="77777777" w:rsidR="00510508" w:rsidRDefault="00000000">
      <w:pPr>
        <w:pStyle w:val="ListParagraph"/>
        <w:numPr>
          <w:ilvl w:val="0"/>
          <w:numId w:val="2"/>
        </w:numPr>
        <w:spacing w:before="40" w:after="40"/>
      </w:pPr>
      <w:r>
        <w:t>Data Retention Policy (TLSPH-POL-007)</w:t>
      </w:r>
    </w:p>
    <w:p w14:paraId="05CFC07F" w14:textId="77777777" w:rsidR="00510508" w:rsidRDefault="00510508">
      <w:pPr>
        <w:spacing w:after="80"/>
      </w:pPr>
    </w:p>
    <w:p w14:paraId="0E187698" w14:textId="77777777" w:rsidR="00510508" w:rsidRDefault="00000000">
      <w:pPr>
        <w:pBdr>
          <w:bottom w:val="single" w:sz="6" w:space="4" w:color="2E75B6"/>
        </w:pBdr>
        <w:spacing w:before="320" w:after="120"/>
      </w:pPr>
      <w:r>
        <w:rPr>
          <w:b/>
          <w:bCs/>
          <w:color w:val="1B3A6B"/>
          <w:sz w:val="28"/>
          <w:szCs w:val="28"/>
        </w:rPr>
        <w:t>9. Contact</w:t>
      </w:r>
    </w:p>
    <w:p w14:paraId="5B8A705F" w14:textId="77777777" w:rsidR="00510508" w:rsidRDefault="0051050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3A15072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905CD77" w14:textId="77777777" w:rsidR="00510508" w:rsidRDefault="00000000">
            <w:r>
              <w:rPr>
                <w:b/>
                <w:bCs/>
                <w:color w:val="1B3A6B"/>
                <w:sz w:val="20"/>
                <w:szCs w:val="20"/>
              </w:rPr>
              <w:t>Declarations of Interest</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EA85015" w14:textId="77777777" w:rsidR="00510508" w:rsidRDefault="00000000">
            <w:r>
              <w:rPr>
                <w:sz w:val="20"/>
                <w:szCs w:val="20"/>
              </w:rPr>
              <w:t>info@thelondonschoolofpublichealth.com (subject: Declaration of Interest)</w:t>
            </w:r>
          </w:p>
        </w:tc>
      </w:tr>
    </w:tbl>
    <w:p w14:paraId="53C02E9F" w14:textId="77777777" w:rsidR="00510508" w:rsidRDefault="0051050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1001D5B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EC9603B" w14:textId="77777777" w:rsidR="00510508" w:rsidRDefault="00000000">
            <w:r>
              <w:rPr>
                <w:b/>
                <w:bCs/>
                <w:color w:val="1B3A6B"/>
                <w:sz w:val="20"/>
                <w:szCs w:val="20"/>
              </w:rPr>
              <w:t>Ofqual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E7D826F" w14:textId="77777777" w:rsidR="00510508" w:rsidRDefault="00000000">
            <w:r>
              <w:rPr>
                <w:sz w:val="20"/>
                <w:szCs w:val="20"/>
              </w:rPr>
              <w:t>www.gov.uk/ofqual</w:t>
            </w:r>
          </w:p>
        </w:tc>
      </w:tr>
    </w:tbl>
    <w:p w14:paraId="3170647C" w14:textId="77777777" w:rsidR="00510508" w:rsidRDefault="0051050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510508" w14:paraId="12C71B5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FCBB9D2" w14:textId="77777777" w:rsidR="00510508" w:rsidRDefault="00000000">
            <w:r>
              <w:rPr>
                <w:b/>
                <w:bCs/>
                <w:color w:val="1B3A6B"/>
                <w:sz w:val="20"/>
                <w:szCs w:val="20"/>
              </w:rPr>
              <w:t>Companies House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5A47FCA" w14:textId="77777777" w:rsidR="00510508" w:rsidRDefault="00000000">
            <w:r>
              <w:rPr>
                <w:sz w:val="20"/>
                <w:szCs w:val="20"/>
              </w:rPr>
              <w:t>www.gov.uk/government/organisations/companies-house</w:t>
            </w:r>
          </w:p>
        </w:tc>
      </w:tr>
    </w:tbl>
    <w:p w14:paraId="7B70797F" w14:textId="77777777" w:rsidR="00510508" w:rsidRDefault="00510508">
      <w:pPr>
        <w:spacing w:after="80"/>
      </w:pPr>
    </w:p>
    <w:p w14:paraId="24F1F360" w14:textId="77777777" w:rsidR="00510508" w:rsidRDefault="0051050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10508" w14:paraId="3A409FDF"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711275A0" w14:textId="77777777" w:rsidR="00510508" w:rsidRDefault="00000000">
            <w:pPr>
              <w:spacing w:before="40" w:after="40"/>
            </w:pPr>
            <w:r>
              <w:rPr>
                <w:b/>
                <w:bCs/>
                <w:color w:val="1B3A6B"/>
                <w:sz w:val="20"/>
                <w:szCs w:val="20"/>
              </w:rPr>
              <w:t>Policy Review</w:t>
            </w:r>
          </w:p>
          <w:p w14:paraId="6C376D77" w14:textId="77777777" w:rsidR="00510508" w:rsidRDefault="00000000">
            <w:pPr>
              <w:spacing w:before="20" w:after="20"/>
            </w:pPr>
            <w:r>
              <w:rPr>
                <w:sz w:val="19"/>
                <w:szCs w:val="19"/>
              </w:rPr>
              <w:t>This policy is reviewed annually by the Senior Leadership Team to ensure compliance with the Companies Act 2006, the Bribery Act 2010, and Ofqual's General Conditions of Recognition. The Conflicts of Interest Register is reviewed at the same time to ensure all declarations are current and all management actions remain appropriate.</w:t>
            </w:r>
          </w:p>
          <w:p w14:paraId="256F4F44" w14:textId="77777777" w:rsidR="00510508" w:rsidRDefault="00000000">
            <w:pPr>
              <w:spacing w:before="20" w:after="40"/>
            </w:pPr>
            <w:r>
              <w:rPr>
                <w:i/>
                <w:iCs/>
                <w:color w:val="555555"/>
                <w:sz w:val="19"/>
                <w:szCs w:val="19"/>
              </w:rPr>
              <w:lastRenderedPageBreak/>
              <w:t>Last Reviewed: October 2025   |   Next Review Due: October 2026   |   Version: 1.0</w:t>
            </w:r>
          </w:p>
        </w:tc>
      </w:tr>
    </w:tbl>
    <w:p w14:paraId="5C420261" w14:textId="77777777" w:rsidR="00AB0854" w:rsidRDefault="00AB0854"/>
    <w:sectPr w:rsidR="00AB0854">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0940" w14:textId="77777777" w:rsidR="00AB0854" w:rsidRDefault="00AB0854">
      <w:r>
        <w:separator/>
      </w:r>
    </w:p>
  </w:endnote>
  <w:endnote w:type="continuationSeparator" w:id="0">
    <w:p w14:paraId="5C3554A2" w14:textId="77777777" w:rsidR="00AB0854" w:rsidRDefault="00AB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D6EA" w14:textId="77777777" w:rsidR="00510508" w:rsidRDefault="00000000">
    <w:pPr>
      <w:pBdr>
        <w:top w:val="single" w:sz="4" w:space="4" w:color="2E75B6"/>
      </w:pBdr>
      <w:spacing w:before="80"/>
    </w:pPr>
    <w:r>
      <w:rPr>
        <w:color w:val="888888"/>
        <w:sz w:val="16"/>
        <w:szCs w:val="16"/>
      </w:rPr>
      <w:t>Conflicts of Interest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CAFC" w14:textId="77777777" w:rsidR="00AB0854" w:rsidRDefault="00AB0854">
      <w:r>
        <w:separator/>
      </w:r>
    </w:p>
  </w:footnote>
  <w:footnote w:type="continuationSeparator" w:id="0">
    <w:p w14:paraId="0766E514" w14:textId="77777777" w:rsidR="00AB0854" w:rsidRDefault="00AB0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4A5C" w14:textId="77777777" w:rsidR="00510508" w:rsidRDefault="00000000">
    <w:pPr>
      <w:pBdr>
        <w:bottom w:val="single" w:sz="6" w:space="6" w:color="2E75B6"/>
      </w:pBdr>
    </w:pPr>
    <w:r>
      <w:rPr>
        <w:noProof/>
      </w:rPr>
      <w:drawing>
        <wp:inline distT="0" distB="0" distL="0" distR="0" wp14:anchorId="64237BD7" wp14:editId="4052DA58">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467F4"/>
    <w:multiLevelType w:val="hybridMultilevel"/>
    <w:tmpl w:val="A2CE4BE4"/>
    <w:lvl w:ilvl="0" w:tplc="DE3C2250">
      <w:start w:val="1"/>
      <w:numFmt w:val="bullet"/>
      <w:lvlText w:val="●"/>
      <w:lvlJc w:val="left"/>
      <w:pPr>
        <w:ind w:left="720" w:hanging="360"/>
      </w:pPr>
    </w:lvl>
    <w:lvl w:ilvl="1" w:tplc="D3D4FA26">
      <w:start w:val="1"/>
      <w:numFmt w:val="bullet"/>
      <w:lvlText w:val="○"/>
      <w:lvlJc w:val="left"/>
      <w:pPr>
        <w:ind w:left="1440" w:hanging="360"/>
      </w:pPr>
    </w:lvl>
    <w:lvl w:ilvl="2" w:tplc="2D5A3BCA">
      <w:start w:val="1"/>
      <w:numFmt w:val="bullet"/>
      <w:lvlText w:val="■"/>
      <w:lvlJc w:val="left"/>
      <w:pPr>
        <w:ind w:left="2160" w:hanging="360"/>
      </w:pPr>
    </w:lvl>
    <w:lvl w:ilvl="3" w:tplc="24145EB2">
      <w:start w:val="1"/>
      <w:numFmt w:val="bullet"/>
      <w:lvlText w:val="●"/>
      <w:lvlJc w:val="left"/>
      <w:pPr>
        <w:ind w:left="2880" w:hanging="360"/>
      </w:pPr>
    </w:lvl>
    <w:lvl w:ilvl="4" w:tplc="2CDE9054">
      <w:start w:val="1"/>
      <w:numFmt w:val="bullet"/>
      <w:lvlText w:val="○"/>
      <w:lvlJc w:val="left"/>
      <w:pPr>
        <w:ind w:left="3600" w:hanging="360"/>
      </w:pPr>
    </w:lvl>
    <w:lvl w:ilvl="5" w:tplc="83442F4A">
      <w:start w:val="1"/>
      <w:numFmt w:val="bullet"/>
      <w:lvlText w:val="■"/>
      <w:lvlJc w:val="left"/>
      <w:pPr>
        <w:ind w:left="4320" w:hanging="360"/>
      </w:pPr>
    </w:lvl>
    <w:lvl w:ilvl="6" w:tplc="880A7E32">
      <w:start w:val="1"/>
      <w:numFmt w:val="bullet"/>
      <w:lvlText w:val="●"/>
      <w:lvlJc w:val="left"/>
      <w:pPr>
        <w:ind w:left="5040" w:hanging="360"/>
      </w:pPr>
    </w:lvl>
    <w:lvl w:ilvl="7" w:tplc="BE88E760">
      <w:start w:val="1"/>
      <w:numFmt w:val="bullet"/>
      <w:lvlText w:val="●"/>
      <w:lvlJc w:val="left"/>
      <w:pPr>
        <w:ind w:left="5760" w:hanging="360"/>
      </w:pPr>
    </w:lvl>
    <w:lvl w:ilvl="8" w:tplc="FD1CA5D2">
      <w:start w:val="1"/>
      <w:numFmt w:val="bullet"/>
      <w:lvlText w:val="●"/>
      <w:lvlJc w:val="left"/>
      <w:pPr>
        <w:ind w:left="6480" w:hanging="360"/>
      </w:pPr>
    </w:lvl>
  </w:abstractNum>
  <w:abstractNum w:abstractNumId="1" w15:restartNumberingAfterBreak="0">
    <w:nsid w:val="6F3768A8"/>
    <w:multiLevelType w:val="hybridMultilevel"/>
    <w:tmpl w:val="7660C1E2"/>
    <w:lvl w:ilvl="0" w:tplc="7010AA52">
      <w:start w:val="1"/>
      <w:numFmt w:val="bullet"/>
      <w:lvlText w:val="•"/>
      <w:lvlJc w:val="left"/>
      <w:pPr>
        <w:ind w:left="720" w:hanging="360"/>
      </w:pPr>
    </w:lvl>
    <w:lvl w:ilvl="1" w:tplc="98A21D38">
      <w:numFmt w:val="decimal"/>
      <w:lvlText w:val=""/>
      <w:lvlJc w:val="left"/>
    </w:lvl>
    <w:lvl w:ilvl="2" w:tplc="39CC982C">
      <w:numFmt w:val="decimal"/>
      <w:lvlText w:val=""/>
      <w:lvlJc w:val="left"/>
    </w:lvl>
    <w:lvl w:ilvl="3" w:tplc="74124E24">
      <w:numFmt w:val="decimal"/>
      <w:lvlText w:val=""/>
      <w:lvlJc w:val="left"/>
    </w:lvl>
    <w:lvl w:ilvl="4" w:tplc="30A69E98">
      <w:numFmt w:val="decimal"/>
      <w:lvlText w:val=""/>
      <w:lvlJc w:val="left"/>
    </w:lvl>
    <w:lvl w:ilvl="5" w:tplc="B6603878">
      <w:numFmt w:val="decimal"/>
      <w:lvlText w:val=""/>
      <w:lvlJc w:val="left"/>
    </w:lvl>
    <w:lvl w:ilvl="6" w:tplc="A7E453C0">
      <w:numFmt w:val="decimal"/>
      <w:lvlText w:val=""/>
      <w:lvlJc w:val="left"/>
    </w:lvl>
    <w:lvl w:ilvl="7" w:tplc="4B2660EE">
      <w:numFmt w:val="decimal"/>
      <w:lvlText w:val=""/>
      <w:lvlJc w:val="left"/>
    </w:lvl>
    <w:lvl w:ilvl="8" w:tplc="0396154C">
      <w:numFmt w:val="decimal"/>
      <w:lvlText w:val=""/>
      <w:lvlJc w:val="left"/>
    </w:lvl>
  </w:abstractNum>
  <w:abstractNum w:abstractNumId="2" w15:restartNumberingAfterBreak="0">
    <w:nsid w:val="7F680094"/>
    <w:multiLevelType w:val="hybridMultilevel"/>
    <w:tmpl w:val="B0C4D2DE"/>
    <w:lvl w:ilvl="0" w:tplc="26B0A8EC">
      <w:start w:val="1"/>
      <w:numFmt w:val="decimal"/>
      <w:lvlText w:val="%1."/>
      <w:lvlJc w:val="left"/>
      <w:pPr>
        <w:ind w:left="720" w:hanging="360"/>
      </w:pPr>
    </w:lvl>
    <w:lvl w:ilvl="1" w:tplc="F10E69BA">
      <w:numFmt w:val="decimal"/>
      <w:lvlText w:val=""/>
      <w:lvlJc w:val="left"/>
    </w:lvl>
    <w:lvl w:ilvl="2" w:tplc="92A8A8B6">
      <w:numFmt w:val="decimal"/>
      <w:lvlText w:val=""/>
      <w:lvlJc w:val="left"/>
    </w:lvl>
    <w:lvl w:ilvl="3" w:tplc="FFFAC406">
      <w:numFmt w:val="decimal"/>
      <w:lvlText w:val=""/>
      <w:lvlJc w:val="left"/>
    </w:lvl>
    <w:lvl w:ilvl="4" w:tplc="D73CBD06">
      <w:numFmt w:val="decimal"/>
      <w:lvlText w:val=""/>
      <w:lvlJc w:val="left"/>
    </w:lvl>
    <w:lvl w:ilvl="5" w:tplc="286E5710">
      <w:numFmt w:val="decimal"/>
      <w:lvlText w:val=""/>
      <w:lvlJc w:val="left"/>
    </w:lvl>
    <w:lvl w:ilvl="6" w:tplc="786A19B0">
      <w:numFmt w:val="decimal"/>
      <w:lvlText w:val=""/>
      <w:lvlJc w:val="left"/>
    </w:lvl>
    <w:lvl w:ilvl="7" w:tplc="E4E6F880">
      <w:numFmt w:val="decimal"/>
      <w:lvlText w:val=""/>
      <w:lvlJc w:val="left"/>
    </w:lvl>
    <w:lvl w:ilvl="8" w:tplc="DA0A4B22">
      <w:numFmt w:val="decimal"/>
      <w:lvlText w:val=""/>
      <w:lvlJc w:val="left"/>
    </w:lvl>
  </w:abstractNum>
  <w:num w:numId="1" w16cid:durableId="1522091160">
    <w:abstractNumId w:val="0"/>
    <w:lvlOverride w:ilvl="0">
      <w:startOverride w:val="1"/>
    </w:lvlOverride>
  </w:num>
  <w:num w:numId="2" w16cid:durableId="13424689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8"/>
    <w:rsid w:val="00510508"/>
    <w:rsid w:val="00AB0854"/>
    <w:rsid w:val="00D0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0CEDD2"/>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2026-05-11T17:23:00Z</dcterms:created>
  <dcterms:modified xsi:type="dcterms:W3CDTF">2026-05-11T17:23:00Z</dcterms:modified>
</cp:coreProperties>
</file>