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74D3" w14:textId="77777777" w:rsidR="00CF3D90" w:rsidRDefault="00CF3D90">
      <w:pPr>
        <w:spacing w:after="80"/>
      </w:pPr>
    </w:p>
    <w:p w14:paraId="3E2F9BBE" w14:textId="77777777" w:rsidR="00CF3D90" w:rsidRDefault="00000000">
      <w:pPr>
        <w:spacing w:before="80" w:after="40"/>
      </w:pPr>
      <w:r>
        <w:rPr>
          <w:b/>
          <w:bCs/>
          <w:color w:val="1B3A6B"/>
          <w:sz w:val="46"/>
          <w:szCs w:val="46"/>
        </w:rPr>
        <w:t>Data Protection Policy</w:t>
      </w:r>
    </w:p>
    <w:p w14:paraId="4376A0BD" w14:textId="77777777" w:rsidR="00CF3D90" w:rsidRDefault="00000000">
      <w:pPr>
        <w:pBdr>
          <w:bottom w:val="single" w:sz="8" w:space="4" w:color="2E75B6"/>
        </w:pBdr>
        <w:spacing w:after="200"/>
      </w:pPr>
      <w:r>
        <w:rPr>
          <w:color w:val="555555"/>
        </w:rPr>
        <w:t>TLSPH LTD  |  The London School of Public Health</w:t>
      </w:r>
    </w:p>
    <w:p w14:paraId="39014EE6" w14:textId="77777777" w:rsidR="00CF3D90" w:rsidRDefault="00CF3D90">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6E01C09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23C980A" w14:textId="77777777" w:rsidR="00CF3D90"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9A159DF" w14:textId="77777777" w:rsidR="00CF3D90" w:rsidRDefault="00000000">
            <w:r>
              <w:rPr>
                <w:sz w:val="20"/>
                <w:szCs w:val="20"/>
              </w:rPr>
              <w:t>TLSPH-POL-014</w:t>
            </w:r>
          </w:p>
        </w:tc>
      </w:tr>
    </w:tbl>
    <w:p w14:paraId="54464602" w14:textId="77777777" w:rsidR="00CF3D90" w:rsidRDefault="00CF3D90">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60AD937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6F89CF6" w14:textId="77777777" w:rsidR="00CF3D90"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AAA41DD" w14:textId="77777777" w:rsidR="00CF3D90" w:rsidRDefault="00000000">
            <w:r>
              <w:rPr>
                <w:sz w:val="20"/>
                <w:szCs w:val="20"/>
              </w:rPr>
              <w:t>1.0</w:t>
            </w:r>
          </w:p>
        </w:tc>
      </w:tr>
    </w:tbl>
    <w:p w14:paraId="7DFF8123" w14:textId="77777777" w:rsidR="00CF3D90" w:rsidRDefault="00CF3D90">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073B4B9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E0A2967" w14:textId="77777777" w:rsidR="00CF3D90"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6E340D6" w14:textId="77777777" w:rsidR="00CF3D90" w:rsidRDefault="00000000">
            <w:r>
              <w:rPr>
                <w:sz w:val="20"/>
                <w:szCs w:val="20"/>
              </w:rPr>
              <w:t>November 2025</w:t>
            </w:r>
          </w:p>
        </w:tc>
      </w:tr>
    </w:tbl>
    <w:p w14:paraId="08CF2DBB" w14:textId="77777777" w:rsidR="00CF3D90" w:rsidRDefault="00CF3D90">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202BB150"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F1A24EC" w14:textId="77777777" w:rsidR="00CF3D90"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90717DF" w14:textId="77777777" w:rsidR="00CF3D90" w:rsidRDefault="00000000">
            <w:r>
              <w:rPr>
                <w:sz w:val="20"/>
                <w:szCs w:val="20"/>
              </w:rPr>
              <w:t>November 2026</w:t>
            </w:r>
          </w:p>
        </w:tc>
      </w:tr>
    </w:tbl>
    <w:p w14:paraId="473E01BC" w14:textId="77777777" w:rsidR="00CF3D90" w:rsidRDefault="00CF3D90">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51E68AA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0D56190" w14:textId="77777777" w:rsidR="00CF3D90"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50CAA1B" w14:textId="77777777" w:rsidR="00CF3D90" w:rsidRDefault="00000000">
            <w:r>
              <w:rPr>
                <w:sz w:val="20"/>
                <w:szCs w:val="20"/>
              </w:rPr>
              <w:t>Senior Leadership Team</w:t>
            </w:r>
          </w:p>
        </w:tc>
      </w:tr>
    </w:tbl>
    <w:p w14:paraId="1461EF07" w14:textId="77777777" w:rsidR="00CF3D90" w:rsidRDefault="00CF3D90">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1DB1636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C1BA887" w14:textId="77777777" w:rsidR="00CF3D90" w:rsidRDefault="00000000">
            <w:r>
              <w:rPr>
                <w:b/>
                <w:bCs/>
                <w:color w:val="1B3A6B"/>
                <w:sz w:val="20"/>
                <w:szCs w:val="20"/>
              </w:rPr>
              <w:t>ICO Registration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C1CF360" w14:textId="77777777" w:rsidR="00CF3D90" w:rsidRDefault="00000000">
            <w:r>
              <w:rPr>
                <w:sz w:val="20"/>
                <w:szCs w:val="20"/>
              </w:rPr>
              <w:t>TLSPH LTD is registered with the Information Commissioner's Office (ICO)</w:t>
            </w:r>
          </w:p>
        </w:tc>
      </w:tr>
    </w:tbl>
    <w:p w14:paraId="393FECE4" w14:textId="77777777" w:rsidR="00CF3D90" w:rsidRDefault="00CF3D90">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1BD4E011"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46FCBAE" w14:textId="77777777" w:rsidR="00CF3D90"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FE5BEC9" w14:textId="77777777" w:rsidR="00CF3D90" w:rsidRDefault="00000000">
            <w:r>
              <w:rPr>
                <w:sz w:val="20"/>
                <w:szCs w:val="20"/>
              </w:rPr>
              <w:t>All staff, tutors, contractors and students of TLSPH LTD</w:t>
            </w:r>
          </w:p>
        </w:tc>
      </w:tr>
    </w:tbl>
    <w:p w14:paraId="50A4A4BF" w14:textId="77777777" w:rsidR="00CF3D90" w:rsidRDefault="00CF3D90">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51091FA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751128B" w14:textId="77777777" w:rsidR="00CF3D90" w:rsidRDefault="00000000">
            <w:r>
              <w:rPr>
                <w:b/>
                <w:bCs/>
                <w:color w:val="1B3A6B"/>
                <w:sz w:val="20"/>
                <w:szCs w:val="20"/>
              </w:rPr>
              <w:t>UK Legislative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C41528F" w14:textId="77777777" w:rsidR="00CF3D90" w:rsidRDefault="00000000">
            <w:r>
              <w:rPr>
                <w:sz w:val="20"/>
                <w:szCs w:val="20"/>
              </w:rPr>
              <w:t>UK General Data Protection Regulation (UK GDPR) (retained by the European Union (Withdrawal) Act 2018) | Data Protection Act 2018 | Privacy and Electronic Communications Regulations 2003 (PECR) | Human Rights Act 1998 | ICO Accountability Framework | ICO Codes of Practice</w:t>
            </w:r>
          </w:p>
        </w:tc>
      </w:tr>
    </w:tbl>
    <w:p w14:paraId="66100C21" w14:textId="77777777" w:rsidR="00CF3D90" w:rsidRDefault="00CF3D90">
      <w:pPr>
        <w:spacing w:after="80"/>
      </w:pPr>
    </w:p>
    <w:p w14:paraId="10AE2C40" w14:textId="77777777" w:rsidR="00CF3D90" w:rsidRDefault="00CF3D90">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F3D90" w14:paraId="3F041EB4"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7EF"/>
            <w:tcMar>
              <w:top w:w="120" w:type="dxa"/>
              <w:left w:w="200" w:type="dxa"/>
              <w:bottom w:w="120" w:type="dxa"/>
              <w:right w:w="200" w:type="dxa"/>
            </w:tcMar>
          </w:tcPr>
          <w:p w14:paraId="04E45A10" w14:textId="77777777" w:rsidR="00CF3D90" w:rsidRDefault="00000000">
            <w:pPr>
              <w:spacing w:after="60"/>
            </w:pPr>
            <w:r>
              <w:rPr>
                <w:b/>
                <w:bCs/>
                <w:color w:val="1A7A4A"/>
                <w:sz w:val="21"/>
                <w:szCs w:val="21"/>
              </w:rPr>
              <w:t>Our Data Protection Commitment</w:t>
            </w:r>
          </w:p>
          <w:p w14:paraId="475FBDE0" w14:textId="77777777" w:rsidR="00CF3D90" w:rsidRDefault="00000000">
            <w:pPr>
              <w:spacing w:before="10" w:after="10"/>
            </w:pPr>
            <w:r>
              <w:rPr>
                <w:sz w:val="20"/>
                <w:szCs w:val="20"/>
              </w:rPr>
              <w:t>TLSPH LTD is committed to processing all personal data lawfully, fairly, and transparently in full compliance with the UK GDPR and the Data Protection Act 2018. We respect the privacy of every individual whose data we hold and are committed to upholding their data protection rights.</w:t>
            </w:r>
          </w:p>
        </w:tc>
      </w:tr>
    </w:tbl>
    <w:p w14:paraId="1C1AC18D" w14:textId="77777777" w:rsidR="00CF3D90" w:rsidRDefault="00CF3D90">
      <w:pPr>
        <w:spacing w:after="80"/>
      </w:pPr>
    </w:p>
    <w:p w14:paraId="497FEFC0" w14:textId="77777777" w:rsidR="00CF3D90" w:rsidRDefault="00000000">
      <w:pPr>
        <w:pBdr>
          <w:bottom w:val="single" w:sz="6" w:space="4" w:color="2E75B6"/>
        </w:pBdr>
        <w:spacing w:before="320" w:after="120"/>
      </w:pPr>
      <w:r>
        <w:rPr>
          <w:b/>
          <w:bCs/>
          <w:color w:val="1B3A6B"/>
          <w:sz w:val="28"/>
          <w:szCs w:val="28"/>
        </w:rPr>
        <w:t>1. Purpose and Scope</w:t>
      </w:r>
    </w:p>
    <w:p w14:paraId="4C1D7510" w14:textId="77777777" w:rsidR="00CF3D90" w:rsidRDefault="00000000">
      <w:pPr>
        <w:spacing w:before="60" w:after="100"/>
      </w:pPr>
      <w:r>
        <w:t>This policy sets out how TLSPH LTD collects, uses, stores, shares, and protects personal data. It applies to all personal data processed by TLSPH, regardless of format. It should be read alongside the TLSPH Privacy Policy, Cookie Policy (TLSPH-POL-001), and Data Retention Policy (TLSPH-POL-007).</w:t>
      </w:r>
    </w:p>
    <w:p w14:paraId="2120B843" w14:textId="77777777" w:rsidR="00CF3D90" w:rsidRDefault="00CF3D90">
      <w:pPr>
        <w:spacing w:after="80"/>
      </w:pPr>
    </w:p>
    <w:p w14:paraId="7F49A6D2" w14:textId="77777777" w:rsidR="00CF3D90" w:rsidRDefault="00000000">
      <w:pPr>
        <w:pBdr>
          <w:bottom w:val="single" w:sz="6" w:space="4" w:color="2E75B6"/>
        </w:pBdr>
        <w:spacing w:before="320" w:after="120"/>
      </w:pPr>
      <w:r>
        <w:rPr>
          <w:b/>
          <w:bCs/>
          <w:color w:val="1B3A6B"/>
          <w:sz w:val="28"/>
          <w:szCs w:val="28"/>
        </w:rPr>
        <w:t>2. Data Protection Principles</w:t>
      </w:r>
    </w:p>
    <w:p w14:paraId="4791C73E" w14:textId="77777777" w:rsidR="00CF3D90" w:rsidRDefault="00000000">
      <w:pPr>
        <w:spacing w:before="60" w:after="100"/>
      </w:pPr>
      <w:r>
        <w:lastRenderedPageBreak/>
        <w:t>Under Article 5 of the UK GDPR, all personal data processed by TLSPH must comply with six principles:</w:t>
      </w:r>
    </w:p>
    <w:p w14:paraId="3E95603A" w14:textId="77777777" w:rsidR="00CF3D90" w:rsidRDefault="00CF3D90">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CF3D90" w14:paraId="5988C775"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03996E96" w14:textId="77777777" w:rsidR="00CF3D90" w:rsidRDefault="00000000">
            <w:r>
              <w:rPr>
                <w:b/>
                <w:bCs/>
                <w:color w:val="FFFFFF"/>
                <w:sz w:val="19"/>
                <w:szCs w:val="19"/>
              </w:rPr>
              <w:t>Principle</w:t>
            </w:r>
          </w:p>
        </w:tc>
        <w:tc>
          <w:tcPr>
            <w:tcW w:w="62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303417FB" w14:textId="77777777" w:rsidR="00CF3D90" w:rsidRDefault="00000000">
            <w:r>
              <w:rPr>
                <w:b/>
                <w:bCs/>
                <w:color w:val="FFFFFF"/>
                <w:sz w:val="19"/>
                <w:szCs w:val="19"/>
              </w:rPr>
              <w:t>Requirement</w:t>
            </w:r>
          </w:p>
        </w:tc>
      </w:tr>
      <w:tr w:rsidR="00CF3D90" w14:paraId="0BD7D92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58B415" w14:textId="77777777" w:rsidR="00CF3D90" w:rsidRDefault="00000000">
            <w:r>
              <w:rPr>
                <w:sz w:val="19"/>
                <w:szCs w:val="19"/>
              </w:rPr>
              <w:t>Lawfulness, Fairness and Transparency</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018F01" w14:textId="77777777" w:rsidR="00CF3D90" w:rsidRDefault="00000000">
            <w:r>
              <w:rPr>
                <w:sz w:val="19"/>
                <w:szCs w:val="19"/>
              </w:rPr>
              <w:t>Data must be processed lawfully, fairly, and transparently in relation to the data subject (Art. 5(1)(a))</w:t>
            </w:r>
          </w:p>
        </w:tc>
      </w:tr>
      <w:tr w:rsidR="00CF3D90" w14:paraId="2F84952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72B19091" w14:textId="77777777" w:rsidR="00CF3D90" w:rsidRDefault="00000000">
            <w:r>
              <w:rPr>
                <w:sz w:val="19"/>
                <w:szCs w:val="19"/>
              </w:rPr>
              <w:t>Purpose Limitation</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103F2C1" w14:textId="77777777" w:rsidR="00CF3D90" w:rsidRDefault="00000000">
            <w:r>
              <w:rPr>
                <w:sz w:val="19"/>
                <w:szCs w:val="19"/>
              </w:rPr>
              <w:t>Data must be collected for specified, explicit, and legitimate purposes and not further processed incompatibly (Art. 5(1)(b))</w:t>
            </w:r>
          </w:p>
        </w:tc>
      </w:tr>
      <w:tr w:rsidR="00CF3D90" w14:paraId="469F22C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59E39D" w14:textId="77777777" w:rsidR="00CF3D90" w:rsidRDefault="00000000">
            <w:r>
              <w:rPr>
                <w:sz w:val="19"/>
                <w:szCs w:val="19"/>
              </w:rPr>
              <w:t>Data Minimisation</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7DC298" w14:textId="77777777" w:rsidR="00CF3D90" w:rsidRDefault="00000000">
            <w:r>
              <w:rPr>
                <w:sz w:val="19"/>
                <w:szCs w:val="19"/>
              </w:rPr>
              <w:t>Data must be adequate, relevant, and limited to what is necessary for the processing purpose (Art. 5(1)(c))</w:t>
            </w:r>
          </w:p>
        </w:tc>
      </w:tr>
      <w:tr w:rsidR="00CF3D90" w14:paraId="360A938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6205F2F3" w14:textId="77777777" w:rsidR="00CF3D90" w:rsidRDefault="00000000">
            <w:r>
              <w:rPr>
                <w:sz w:val="19"/>
                <w:szCs w:val="19"/>
              </w:rPr>
              <w:t>Accuracy</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19463922" w14:textId="77777777" w:rsidR="00CF3D90" w:rsidRDefault="00000000">
            <w:r>
              <w:rPr>
                <w:sz w:val="19"/>
                <w:szCs w:val="19"/>
              </w:rPr>
              <w:t>Data must be accurate and, where necessary, kept up to date (Art. 5(1)(d))</w:t>
            </w:r>
          </w:p>
        </w:tc>
      </w:tr>
      <w:tr w:rsidR="00CF3D90" w14:paraId="7049B26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CBB65B" w14:textId="77777777" w:rsidR="00CF3D90" w:rsidRDefault="00000000">
            <w:r>
              <w:rPr>
                <w:sz w:val="19"/>
                <w:szCs w:val="19"/>
              </w:rPr>
              <w:t>Storage Limitation</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1F9FFD" w14:textId="77777777" w:rsidR="00CF3D90" w:rsidRDefault="00000000">
            <w:r>
              <w:rPr>
                <w:sz w:val="19"/>
                <w:szCs w:val="19"/>
              </w:rPr>
              <w:t>Data must not be kept in identifiable form longer than necessary. See Data Retention Policy TLSPH-POL-007 (Art. 5(1)(e))</w:t>
            </w:r>
          </w:p>
        </w:tc>
      </w:tr>
      <w:tr w:rsidR="00CF3D90" w14:paraId="687D373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64F1A2C" w14:textId="77777777" w:rsidR="00CF3D90" w:rsidRDefault="00000000">
            <w:r>
              <w:rPr>
                <w:sz w:val="19"/>
                <w:szCs w:val="19"/>
              </w:rPr>
              <w:t>Integrity and Confidentiality</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3ABFFB3" w14:textId="77777777" w:rsidR="00CF3D90" w:rsidRDefault="00000000">
            <w:r>
              <w:rPr>
                <w:sz w:val="19"/>
                <w:szCs w:val="19"/>
              </w:rPr>
              <w:t>Data must be processed securely, protecting against unauthorised processing and accidental loss (Art. 5(1)(f))</w:t>
            </w:r>
          </w:p>
        </w:tc>
      </w:tr>
    </w:tbl>
    <w:p w14:paraId="26BC13DF" w14:textId="77777777" w:rsidR="00CF3D90" w:rsidRDefault="00CF3D90">
      <w:pPr>
        <w:spacing w:after="80"/>
      </w:pPr>
    </w:p>
    <w:p w14:paraId="18531227" w14:textId="77777777" w:rsidR="00CF3D90" w:rsidRDefault="00CF3D90">
      <w:pPr>
        <w:spacing w:after="80"/>
      </w:pPr>
    </w:p>
    <w:p w14:paraId="45EC283A" w14:textId="77777777" w:rsidR="00CF3D90" w:rsidRDefault="00000000">
      <w:pPr>
        <w:pBdr>
          <w:bottom w:val="single" w:sz="6" w:space="4" w:color="2E75B6"/>
        </w:pBdr>
        <w:spacing w:before="320" w:after="120"/>
      </w:pPr>
      <w:r>
        <w:rPr>
          <w:b/>
          <w:bCs/>
          <w:color w:val="1B3A6B"/>
          <w:sz w:val="28"/>
          <w:szCs w:val="28"/>
        </w:rPr>
        <w:t>3. Lawful Bases for Processing</w:t>
      </w:r>
    </w:p>
    <w:p w14:paraId="0FD00C8B" w14:textId="77777777" w:rsidR="00CF3D90" w:rsidRDefault="00000000">
      <w:pPr>
        <w:spacing w:before="60" w:after="100"/>
      </w:pPr>
      <w:r>
        <w:t>TLSPH identifies a lawful basis before processing personal data. The principal bases used are:</w:t>
      </w:r>
    </w:p>
    <w:p w14:paraId="3B7DF14F" w14:textId="77777777" w:rsidR="00CF3D90" w:rsidRDefault="00000000">
      <w:pPr>
        <w:pStyle w:val="ListParagraph"/>
        <w:numPr>
          <w:ilvl w:val="0"/>
          <w:numId w:val="2"/>
        </w:numPr>
        <w:spacing w:before="40" w:after="40"/>
      </w:pPr>
      <w:r>
        <w:t>Contract (Article 6(1)(b)) — processing necessary to perform student enrolment agreements and staff contracts</w:t>
      </w:r>
    </w:p>
    <w:p w14:paraId="699F421B" w14:textId="77777777" w:rsidR="00CF3D90" w:rsidRDefault="00000000">
      <w:pPr>
        <w:pStyle w:val="ListParagraph"/>
        <w:numPr>
          <w:ilvl w:val="0"/>
          <w:numId w:val="2"/>
        </w:numPr>
        <w:spacing w:before="40" w:after="40"/>
      </w:pPr>
      <w:r>
        <w:t>Legal obligation (Article 6(1)(c)) — processing required to comply with HMRC, Ofqual, safeguarding, and other legal duties</w:t>
      </w:r>
    </w:p>
    <w:p w14:paraId="1DB800EB" w14:textId="77777777" w:rsidR="00CF3D90" w:rsidRDefault="00000000">
      <w:pPr>
        <w:pStyle w:val="ListParagraph"/>
        <w:numPr>
          <w:ilvl w:val="0"/>
          <w:numId w:val="2"/>
        </w:numPr>
        <w:spacing w:before="40" w:after="40"/>
      </w:pPr>
      <w:r>
        <w:t>Legitimate interests (Article 6(1)(f)) — processing necessary for TLSPH's legitimate operational interests, balanced against data subject rights</w:t>
      </w:r>
    </w:p>
    <w:p w14:paraId="3707FB8F" w14:textId="77777777" w:rsidR="00CF3D90" w:rsidRDefault="00000000">
      <w:pPr>
        <w:pStyle w:val="ListParagraph"/>
        <w:numPr>
          <w:ilvl w:val="0"/>
          <w:numId w:val="2"/>
        </w:numPr>
        <w:spacing w:before="40" w:after="40"/>
      </w:pPr>
      <w:r>
        <w:t>Consent (Article 6(1)(a)) — used for marketing communications under PECR; freely given, specific, and withdrawable</w:t>
      </w:r>
    </w:p>
    <w:p w14:paraId="484A5BAA" w14:textId="77777777" w:rsidR="00CF3D90" w:rsidRDefault="00CF3D90">
      <w:pPr>
        <w:spacing w:after="80"/>
      </w:pPr>
    </w:p>
    <w:p w14:paraId="67AB63DE" w14:textId="77777777" w:rsidR="00CF3D90" w:rsidRDefault="00000000">
      <w:pPr>
        <w:spacing w:before="60" w:after="100"/>
      </w:pPr>
      <w:r>
        <w:t>Where TLSPH processes special category data (Article 9 UK GDPR) — such as health or disability data for reasonable adjustments — an additional Article 9(2) condition is identified, typically explicit consent or substantial public interest under Schedule 1 of the Data Protection Act 2018.</w:t>
      </w:r>
    </w:p>
    <w:p w14:paraId="3523370E" w14:textId="77777777" w:rsidR="00CF3D90" w:rsidRDefault="00CF3D90">
      <w:pPr>
        <w:spacing w:after="80"/>
      </w:pPr>
    </w:p>
    <w:p w14:paraId="2303F425" w14:textId="77777777" w:rsidR="00CF3D90" w:rsidRDefault="00000000">
      <w:pPr>
        <w:pBdr>
          <w:bottom w:val="single" w:sz="6" w:space="4" w:color="2E75B6"/>
        </w:pBdr>
        <w:spacing w:before="320" w:after="120"/>
      </w:pPr>
      <w:r>
        <w:rPr>
          <w:b/>
          <w:bCs/>
          <w:color w:val="1B3A6B"/>
          <w:sz w:val="28"/>
          <w:szCs w:val="28"/>
        </w:rPr>
        <w:t>4. Data We Hold</w:t>
      </w:r>
    </w:p>
    <w:p w14:paraId="69BA0409" w14:textId="77777777" w:rsidR="00CF3D90" w:rsidRDefault="00000000">
      <w:pPr>
        <w:spacing w:before="220" w:after="80"/>
      </w:pPr>
      <w:r>
        <w:rPr>
          <w:b/>
          <w:bCs/>
          <w:color w:val="2E75B6"/>
          <w:sz w:val="24"/>
          <w:szCs w:val="24"/>
        </w:rPr>
        <w:t>4.1 Student Data</w:t>
      </w:r>
    </w:p>
    <w:p w14:paraId="2039A9E2" w14:textId="77777777" w:rsidR="00CF3D90" w:rsidRDefault="00000000">
      <w:pPr>
        <w:pStyle w:val="ListParagraph"/>
        <w:numPr>
          <w:ilvl w:val="0"/>
          <w:numId w:val="2"/>
        </w:numPr>
        <w:spacing w:before="40" w:after="40"/>
      </w:pPr>
      <w:r>
        <w:t>Identity: full name, date of birth, nationality, identification documents</w:t>
      </w:r>
    </w:p>
    <w:p w14:paraId="5F370A0F" w14:textId="77777777" w:rsidR="00CF3D90" w:rsidRDefault="00000000">
      <w:pPr>
        <w:pStyle w:val="ListParagraph"/>
        <w:numPr>
          <w:ilvl w:val="0"/>
          <w:numId w:val="2"/>
        </w:numPr>
        <w:spacing w:before="40" w:after="40"/>
      </w:pPr>
      <w:r>
        <w:t>Contact: email address, telephone number, home address</w:t>
      </w:r>
    </w:p>
    <w:p w14:paraId="5D89BBD0" w14:textId="77777777" w:rsidR="00CF3D90" w:rsidRDefault="00000000">
      <w:pPr>
        <w:pStyle w:val="ListParagraph"/>
        <w:numPr>
          <w:ilvl w:val="0"/>
          <w:numId w:val="2"/>
        </w:numPr>
        <w:spacing w:before="40" w:after="40"/>
      </w:pPr>
      <w:r>
        <w:t>Academic: course details, assessment results, transcripts, certificates</w:t>
      </w:r>
    </w:p>
    <w:p w14:paraId="07F6F6A7" w14:textId="77777777" w:rsidR="00CF3D90" w:rsidRDefault="00000000">
      <w:pPr>
        <w:pStyle w:val="ListParagraph"/>
        <w:numPr>
          <w:ilvl w:val="0"/>
          <w:numId w:val="2"/>
        </w:numPr>
        <w:spacing w:before="40" w:after="40"/>
      </w:pPr>
      <w:r>
        <w:t>Financial: payment records, fee arrangements</w:t>
      </w:r>
    </w:p>
    <w:p w14:paraId="28612136" w14:textId="77777777" w:rsidR="00CF3D90" w:rsidRDefault="00000000">
      <w:pPr>
        <w:pStyle w:val="ListParagraph"/>
        <w:numPr>
          <w:ilvl w:val="0"/>
          <w:numId w:val="2"/>
        </w:numPr>
        <w:spacing w:before="40" w:after="40"/>
      </w:pPr>
      <w:r>
        <w:t>Support: reasonable adjustment requests, disability information, wellbeing records</w:t>
      </w:r>
    </w:p>
    <w:p w14:paraId="3143E577" w14:textId="77777777" w:rsidR="00CF3D90" w:rsidRDefault="00000000">
      <w:pPr>
        <w:pStyle w:val="ListParagraph"/>
        <w:numPr>
          <w:ilvl w:val="0"/>
          <w:numId w:val="2"/>
        </w:numPr>
        <w:spacing w:before="40" w:after="40"/>
      </w:pPr>
      <w:r>
        <w:lastRenderedPageBreak/>
        <w:t>Safeguarding records (held separately with restricted access)</w:t>
      </w:r>
    </w:p>
    <w:p w14:paraId="14C6DFB3" w14:textId="77777777" w:rsidR="00CF3D90" w:rsidRDefault="00000000">
      <w:pPr>
        <w:spacing w:before="220" w:after="80"/>
      </w:pPr>
      <w:r>
        <w:rPr>
          <w:b/>
          <w:bCs/>
          <w:color w:val="2E75B6"/>
          <w:sz w:val="24"/>
          <w:szCs w:val="24"/>
        </w:rPr>
        <w:t>4.2 Staff and Contractor Data</w:t>
      </w:r>
    </w:p>
    <w:p w14:paraId="2C8084DC" w14:textId="77777777" w:rsidR="00CF3D90" w:rsidRDefault="00000000">
      <w:pPr>
        <w:pStyle w:val="ListParagraph"/>
        <w:numPr>
          <w:ilvl w:val="0"/>
          <w:numId w:val="2"/>
        </w:numPr>
        <w:spacing w:before="40" w:after="40"/>
      </w:pPr>
      <w:r>
        <w:t>Identity, contact, employment and contract data</w:t>
      </w:r>
    </w:p>
    <w:p w14:paraId="5975B38D" w14:textId="77777777" w:rsidR="00CF3D90" w:rsidRDefault="00000000">
      <w:pPr>
        <w:pStyle w:val="ListParagraph"/>
        <w:numPr>
          <w:ilvl w:val="0"/>
          <w:numId w:val="2"/>
        </w:numPr>
        <w:spacing w:before="40" w:after="40"/>
      </w:pPr>
      <w:r>
        <w:t>Payroll and DBS check records (date and outcome only)</w:t>
      </w:r>
    </w:p>
    <w:p w14:paraId="13761AF1" w14:textId="77777777" w:rsidR="00CF3D90" w:rsidRDefault="00000000">
      <w:pPr>
        <w:pStyle w:val="ListParagraph"/>
        <w:numPr>
          <w:ilvl w:val="0"/>
          <w:numId w:val="2"/>
        </w:numPr>
        <w:spacing w:before="40" w:after="40"/>
      </w:pPr>
      <w:r>
        <w:t>Training, qualification, performance and disciplinary records</w:t>
      </w:r>
    </w:p>
    <w:p w14:paraId="34F4468D" w14:textId="77777777" w:rsidR="00CF3D90" w:rsidRDefault="00000000">
      <w:pPr>
        <w:spacing w:before="220" w:after="80"/>
      </w:pPr>
      <w:r>
        <w:rPr>
          <w:b/>
          <w:bCs/>
          <w:color w:val="2E75B6"/>
          <w:sz w:val="24"/>
          <w:szCs w:val="24"/>
        </w:rPr>
        <w:t>4.3 Marketing and Enquiry Data</w:t>
      </w:r>
    </w:p>
    <w:p w14:paraId="1A434F24" w14:textId="77777777" w:rsidR="00CF3D90" w:rsidRDefault="00000000">
      <w:pPr>
        <w:pStyle w:val="ListParagraph"/>
        <w:numPr>
          <w:ilvl w:val="0"/>
          <w:numId w:val="2"/>
        </w:numPr>
        <w:spacing w:before="40" w:after="40"/>
      </w:pPr>
      <w:r>
        <w:t>Contact form submissions, email marketing consent records</w:t>
      </w:r>
    </w:p>
    <w:p w14:paraId="233FC93C" w14:textId="77777777" w:rsidR="00CF3D90" w:rsidRDefault="00000000">
      <w:pPr>
        <w:pStyle w:val="ListParagraph"/>
        <w:numPr>
          <w:ilvl w:val="0"/>
          <w:numId w:val="2"/>
        </w:numPr>
        <w:spacing w:before="40" w:after="40"/>
      </w:pPr>
      <w:r>
        <w:t>Website analytics data (per Cookie Policy TLSPH-POL-001)</w:t>
      </w:r>
    </w:p>
    <w:p w14:paraId="6117BC44" w14:textId="77777777" w:rsidR="00CF3D90" w:rsidRDefault="00CF3D90">
      <w:pPr>
        <w:spacing w:after="80"/>
      </w:pPr>
    </w:p>
    <w:p w14:paraId="669E62C1" w14:textId="77777777" w:rsidR="00CF3D90" w:rsidRDefault="00000000">
      <w:pPr>
        <w:pBdr>
          <w:bottom w:val="single" w:sz="6" w:space="4" w:color="2E75B6"/>
        </w:pBdr>
        <w:spacing w:before="320" w:after="120"/>
      </w:pPr>
      <w:r>
        <w:rPr>
          <w:b/>
          <w:bCs/>
          <w:color w:val="1B3A6B"/>
          <w:sz w:val="28"/>
          <w:szCs w:val="28"/>
        </w:rPr>
        <w:t>5. Data Subject Rights</w:t>
      </w:r>
    </w:p>
    <w:p w14:paraId="653F6F16" w14:textId="77777777" w:rsidR="00CF3D90" w:rsidRDefault="00000000">
      <w:pPr>
        <w:spacing w:before="60" w:after="100"/>
      </w:pPr>
      <w:r>
        <w:t>Under UK GDPR, data subjects have the following rights. TLSPH will respond to valid requests within one calendar month (Article 12):</w:t>
      </w:r>
    </w:p>
    <w:p w14:paraId="4D958B30" w14:textId="77777777" w:rsidR="00CF3D90" w:rsidRDefault="00CF3D90">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CF3D90" w14:paraId="5C16C196"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7D09955D" w14:textId="77777777" w:rsidR="00CF3D90" w:rsidRDefault="00000000">
            <w:r>
              <w:rPr>
                <w:b/>
                <w:bCs/>
                <w:color w:val="FFFFFF"/>
                <w:sz w:val="19"/>
                <w:szCs w:val="19"/>
              </w:rPr>
              <w:t>Right</w:t>
            </w:r>
          </w:p>
        </w:tc>
        <w:tc>
          <w:tcPr>
            <w:tcW w:w="62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73B40452" w14:textId="77777777" w:rsidR="00CF3D90" w:rsidRDefault="00000000">
            <w:r>
              <w:rPr>
                <w:b/>
                <w:bCs/>
                <w:color w:val="FFFFFF"/>
                <w:sz w:val="19"/>
                <w:szCs w:val="19"/>
              </w:rPr>
              <w:t>Description</w:t>
            </w:r>
          </w:p>
        </w:tc>
      </w:tr>
      <w:tr w:rsidR="00CF3D90" w14:paraId="73FCD55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0D84CF" w14:textId="77777777" w:rsidR="00CF3D90" w:rsidRDefault="00000000">
            <w:r>
              <w:rPr>
                <w:sz w:val="19"/>
                <w:szCs w:val="19"/>
              </w:rPr>
              <w:t>Right of Access (Art. 15)</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ACF9ED" w14:textId="77777777" w:rsidR="00CF3D90" w:rsidRDefault="00000000">
            <w:r>
              <w:rPr>
                <w:sz w:val="19"/>
                <w:szCs w:val="19"/>
              </w:rPr>
              <w:t>Right to obtain a copy of personal data held (Subject Access Request)</w:t>
            </w:r>
          </w:p>
        </w:tc>
      </w:tr>
      <w:tr w:rsidR="00CF3D90" w14:paraId="2448A08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5910EB9" w14:textId="77777777" w:rsidR="00CF3D90" w:rsidRDefault="00000000">
            <w:r>
              <w:rPr>
                <w:sz w:val="19"/>
                <w:szCs w:val="19"/>
              </w:rPr>
              <w:t>Right to Rectification (Art. 16)</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68EE97F6" w14:textId="77777777" w:rsidR="00CF3D90" w:rsidRDefault="00000000">
            <w:r>
              <w:rPr>
                <w:sz w:val="19"/>
                <w:szCs w:val="19"/>
              </w:rPr>
              <w:t>Right to have inaccurate or incomplete data corrected</w:t>
            </w:r>
          </w:p>
        </w:tc>
      </w:tr>
      <w:tr w:rsidR="00CF3D90" w14:paraId="3170555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42D43A" w14:textId="77777777" w:rsidR="00CF3D90" w:rsidRDefault="00000000">
            <w:r>
              <w:rPr>
                <w:sz w:val="19"/>
                <w:szCs w:val="19"/>
              </w:rPr>
              <w:t>Right to Erasure (Art. 17)</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D47A9A" w14:textId="77777777" w:rsidR="00CF3D90" w:rsidRDefault="00000000">
            <w:r>
              <w:rPr>
                <w:sz w:val="19"/>
                <w:szCs w:val="19"/>
              </w:rPr>
              <w:t>Right to have data deleted, subject to legal retention obligations</w:t>
            </w:r>
          </w:p>
        </w:tc>
      </w:tr>
      <w:tr w:rsidR="00CF3D90" w14:paraId="33B8BCE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D87AE72" w14:textId="77777777" w:rsidR="00CF3D90" w:rsidRDefault="00000000">
            <w:r>
              <w:rPr>
                <w:sz w:val="19"/>
                <w:szCs w:val="19"/>
              </w:rPr>
              <w:t>Right to Restriction (Art. 18)</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193C2734" w14:textId="77777777" w:rsidR="00CF3D90" w:rsidRDefault="00000000">
            <w:r>
              <w:rPr>
                <w:sz w:val="19"/>
                <w:szCs w:val="19"/>
              </w:rPr>
              <w:t>Right to restrict processing in certain circumstances</w:t>
            </w:r>
          </w:p>
        </w:tc>
      </w:tr>
      <w:tr w:rsidR="00CF3D90" w14:paraId="7A61BF5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348B11" w14:textId="77777777" w:rsidR="00CF3D90" w:rsidRDefault="00000000">
            <w:r>
              <w:rPr>
                <w:sz w:val="19"/>
                <w:szCs w:val="19"/>
              </w:rPr>
              <w:t>Right to Data Portability (Art. 20)</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C7E324" w14:textId="77777777" w:rsidR="00CF3D90" w:rsidRDefault="00000000">
            <w:r>
              <w:rPr>
                <w:sz w:val="19"/>
                <w:szCs w:val="19"/>
              </w:rPr>
              <w:t>Right to receive data in a structured, machine-readable format (consent or contract basis)</w:t>
            </w:r>
          </w:p>
        </w:tc>
      </w:tr>
      <w:tr w:rsidR="00CF3D90" w14:paraId="2475DAB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12F6F9C0" w14:textId="77777777" w:rsidR="00CF3D90" w:rsidRDefault="00000000">
            <w:r>
              <w:rPr>
                <w:sz w:val="19"/>
                <w:szCs w:val="19"/>
              </w:rPr>
              <w:t>Right to Object (Art. 21)</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7D7FF9C" w14:textId="77777777" w:rsidR="00CF3D90" w:rsidRDefault="00000000">
            <w:r>
              <w:rPr>
                <w:sz w:val="19"/>
                <w:szCs w:val="19"/>
              </w:rPr>
              <w:t>Right to object to processing based on legitimate interests or for direct marketing</w:t>
            </w:r>
          </w:p>
        </w:tc>
      </w:tr>
      <w:tr w:rsidR="00CF3D90" w14:paraId="5E7A4FA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55610C" w14:textId="77777777" w:rsidR="00CF3D90" w:rsidRDefault="00000000">
            <w:r>
              <w:rPr>
                <w:sz w:val="19"/>
                <w:szCs w:val="19"/>
              </w:rPr>
              <w:t>Rights re Automated Decisions (Art. 22)</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78E1C6" w14:textId="77777777" w:rsidR="00CF3D90" w:rsidRDefault="00000000">
            <w:r>
              <w:rPr>
                <w:sz w:val="19"/>
                <w:szCs w:val="19"/>
              </w:rPr>
              <w:t>Right not to be subject to solely automated decisions with significant effects</w:t>
            </w:r>
          </w:p>
        </w:tc>
      </w:tr>
    </w:tbl>
    <w:p w14:paraId="154EBAFF" w14:textId="77777777" w:rsidR="00CF3D90" w:rsidRDefault="00CF3D90">
      <w:pPr>
        <w:spacing w:after="80"/>
      </w:pPr>
    </w:p>
    <w:p w14:paraId="08688FBF" w14:textId="77777777" w:rsidR="00CF3D90" w:rsidRDefault="00000000">
      <w:pPr>
        <w:spacing w:before="60" w:after="100"/>
      </w:pPr>
      <w:r>
        <w:t>Requests should be submitted to info@thelondonschoolofpublichealth.com, marked 'Data Rights Request'. Proof of identity may be required.</w:t>
      </w:r>
    </w:p>
    <w:p w14:paraId="2E5F5453" w14:textId="77777777" w:rsidR="00CF3D90" w:rsidRDefault="00CF3D90">
      <w:pPr>
        <w:spacing w:after="80"/>
      </w:pPr>
    </w:p>
    <w:p w14:paraId="1A32C800" w14:textId="77777777" w:rsidR="00CF3D90" w:rsidRDefault="00000000">
      <w:pPr>
        <w:pBdr>
          <w:bottom w:val="single" w:sz="6" w:space="4" w:color="2E75B6"/>
        </w:pBdr>
        <w:spacing w:before="320" w:after="120"/>
      </w:pPr>
      <w:r>
        <w:rPr>
          <w:b/>
          <w:bCs/>
          <w:color w:val="1B3A6B"/>
          <w:sz w:val="28"/>
          <w:szCs w:val="28"/>
        </w:rPr>
        <w:t>6. Data Sharing</w:t>
      </w:r>
    </w:p>
    <w:p w14:paraId="292F654B" w14:textId="77777777" w:rsidR="00CF3D90" w:rsidRDefault="00000000">
      <w:pPr>
        <w:spacing w:before="60" w:after="100"/>
      </w:pPr>
      <w:r>
        <w:t>TLSPH will not share personal data with third parties except where required to fulfil a contract (e.g. sharing learner data with NCFE, ABMA, or CPD), required by law, or where the data subject has consented. All third-party processors are engaged under a Data Processing Agreement (DPA) in accordance with Article 28 of the UK GDPR.</w:t>
      </w:r>
    </w:p>
    <w:p w14:paraId="1A4DB80E" w14:textId="77777777" w:rsidR="00CF3D90" w:rsidRDefault="00CF3D90">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F3D90" w14:paraId="4E5A48A3"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329AA157" w14:textId="77777777" w:rsidR="00CF3D90" w:rsidRDefault="00000000">
            <w:pPr>
              <w:spacing w:after="60"/>
            </w:pPr>
            <w:r>
              <w:rPr>
                <w:b/>
                <w:bCs/>
                <w:color w:val="D4720A"/>
                <w:sz w:val="21"/>
                <w:szCs w:val="21"/>
              </w:rPr>
              <w:t>International Data Transfers</w:t>
            </w:r>
          </w:p>
          <w:p w14:paraId="712C5F8B" w14:textId="77777777" w:rsidR="00CF3D90" w:rsidRDefault="00000000">
            <w:pPr>
              <w:spacing w:before="10" w:after="10"/>
            </w:pPr>
            <w:r>
              <w:rPr>
                <w:sz w:val="20"/>
                <w:szCs w:val="20"/>
              </w:rPr>
              <w:t>Where TLSPH transfers personal data outside the UK, it ensures an appropriate transfer mechanism is in place under Chapter V of the UK GDPR, such as UK adequacy regulations or an International Data Transfer Agreement (IDTA).</w:t>
            </w:r>
          </w:p>
        </w:tc>
      </w:tr>
    </w:tbl>
    <w:p w14:paraId="78A179D7" w14:textId="77777777" w:rsidR="00CF3D90" w:rsidRDefault="00CF3D90">
      <w:pPr>
        <w:spacing w:after="80"/>
      </w:pPr>
    </w:p>
    <w:p w14:paraId="65CC2B22" w14:textId="77777777" w:rsidR="00CF3D90" w:rsidRDefault="00000000">
      <w:pPr>
        <w:pBdr>
          <w:bottom w:val="single" w:sz="6" w:space="4" w:color="2E75B6"/>
        </w:pBdr>
        <w:spacing w:before="320" w:after="120"/>
      </w:pPr>
      <w:r>
        <w:rPr>
          <w:b/>
          <w:bCs/>
          <w:color w:val="1B3A6B"/>
          <w:sz w:val="28"/>
          <w:szCs w:val="28"/>
        </w:rPr>
        <w:t>7. Data Security</w:t>
      </w:r>
    </w:p>
    <w:p w14:paraId="649FA545" w14:textId="77777777" w:rsidR="00CF3D90" w:rsidRDefault="00000000">
      <w:pPr>
        <w:spacing w:before="60" w:after="100"/>
      </w:pPr>
      <w:r>
        <w:t>TLSPH implements appropriate technical and organisational security measures under Article 32 UK GDPR, including:</w:t>
      </w:r>
    </w:p>
    <w:p w14:paraId="5B9433D0" w14:textId="77777777" w:rsidR="00CF3D90" w:rsidRDefault="00000000">
      <w:pPr>
        <w:pStyle w:val="ListParagraph"/>
        <w:numPr>
          <w:ilvl w:val="0"/>
          <w:numId w:val="2"/>
        </w:numPr>
        <w:spacing w:before="40" w:after="40"/>
      </w:pPr>
      <w:r>
        <w:t>Password-protected systems with multi-factor authentication</w:t>
      </w:r>
    </w:p>
    <w:p w14:paraId="5F94940B" w14:textId="77777777" w:rsidR="00CF3D90" w:rsidRDefault="00000000">
      <w:pPr>
        <w:pStyle w:val="ListParagraph"/>
        <w:numPr>
          <w:ilvl w:val="0"/>
          <w:numId w:val="2"/>
        </w:numPr>
        <w:spacing w:before="40" w:after="40"/>
      </w:pPr>
      <w:r>
        <w:t>Encryption of sensitive data in transit and at rest</w:t>
      </w:r>
    </w:p>
    <w:p w14:paraId="62004FE6" w14:textId="77777777" w:rsidR="00CF3D90" w:rsidRDefault="00000000">
      <w:pPr>
        <w:pStyle w:val="ListParagraph"/>
        <w:numPr>
          <w:ilvl w:val="0"/>
          <w:numId w:val="2"/>
        </w:numPr>
        <w:spacing w:before="40" w:after="40"/>
      </w:pPr>
      <w:r>
        <w:t>Role-based access controls and regular access reviews</w:t>
      </w:r>
    </w:p>
    <w:p w14:paraId="41060598" w14:textId="77777777" w:rsidR="00CF3D90" w:rsidRDefault="00000000">
      <w:pPr>
        <w:pStyle w:val="ListParagraph"/>
        <w:numPr>
          <w:ilvl w:val="0"/>
          <w:numId w:val="2"/>
        </w:numPr>
        <w:spacing w:before="40" w:after="40"/>
      </w:pPr>
      <w:r>
        <w:t>Regular secure data backups</w:t>
      </w:r>
    </w:p>
    <w:p w14:paraId="1F11664C" w14:textId="77777777" w:rsidR="00CF3D90" w:rsidRDefault="00000000">
      <w:pPr>
        <w:pStyle w:val="ListParagraph"/>
        <w:numPr>
          <w:ilvl w:val="0"/>
          <w:numId w:val="2"/>
        </w:numPr>
        <w:spacing w:before="40" w:after="40"/>
      </w:pPr>
      <w:r>
        <w:t>Staff training on data security and phishing awareness</w:t>
      </w:r>
    </w:p>
    <w:p w14:paraId="798E2F6C" w14:textId="77777777" w:rsidR="00CF3D90" w:rsidRDefault="00000000">
      <w:pPr>
        <w:pStyle w:val="ListParagraph"/>
        <w:numPr>
          <w:ilvl w:val="0"/>
          <w:numId w:val="2"/>
        </w:numPr>
        <w:spacing w:before="40" w:after="40"/>
      </w:pPr>
      <w:r>
        <w:t>Secure disposal per Data Retention Policy TLSPH-POL-007</w:t>
      </w:r>
    </w:p>
    <w:p w14:paraId="5EBE3CD1" w14:textId="77777777" w:rsidR="00CF3D90" w:rsidRDefault="00CF3D90">
      <w:pPr>
        <w:spacing w:after="80"/>
      </w:pPr>
    </w:p>
    <w:p w14:paraId="432FFE0F" w14:textId="77777777" w:rsidR="00CF3D90" w:rsidRDefault="00000000">
      <w:pPr>
        <w:pBdr>
          <w:bottom w:val="single" w:sz="6" w:space="4" w:color="2E75B6"/>
        </w:pBdr>
        <w:spacing w:before="320" w:after="120"/>
      </w:pPr>
      <w:r>
        <w:rPr>
          <w:b/>
          <w:bCs/>
          <w:color w:val="1B3A6B"/>
          <w:sz w:val="28"/>
          <w:szCs w:val="28"/>
        </w:rPr>
        <w:t>8. Personal Data Breaches</w:t>
      </w:r>
    </w:p>
    <w:p w14:paraId="23326104" w14:textId="77777777" w:rsidR="00CF3D90" w:rsidRDefault="00000000">
      <w:pPr>
        <w:spacing w:before="60" w:after="100"/>
      </w:pPr>
      <w:r>
        <w:t>In the event of a breach, TLSPH will contain it immediately, and:</w:t>
      </w:r>
    </w:p>
    <w:p w14:paraId="5EC08894" w14:textId="77777777" w:rsidR="00CF3D90" w:rsidRDefault="00000000">
      <w:pPr>
        <w:pStyle w:val="ListParagraph"/>
        <w:numPr>
          <w:ilvl w:val="0"/>
          <w:numId w:val="3"/>
        </w:numPr>
        <w:spacing w:before="40" w:after="40"/>
      </w:pPr>
      <w:r>
        <w:t>Notify the ICO within 72 hours where the breach poses a risk to individuals (Article 33, UK GDPR)</w:t>
      </w:r>
    </w:p>
    <w:p w14:paraId="1B448377" w14:textId="77777777" w:rsidR="00CF3D90" w:rsidRDefault="00000000">
      <w:pPr>
        <w:pStyle w:val="ListParagraph"/>
        <w:numPr>
          <w:ilvl w:val="0"/>
          <w:numId w:val="3"/>
        </w:numPr>
        <w:spacing w:before="40" w:after="40"/>
      </w:pPr>
      <w:r>
        <w:t>Notify affected data subjects without undue delay where there is a high risk to their rights (Article 34, UK GDPR)</w:t>
      </w:r>
    </w:p>
    <w:p w14:paraId="2E741CB6" w14:textId="77777777" w:rsidR="00CF3D90" w:rsidRDefault="00000000">
      <w:pPr>
        <w:pStyle w:val="ListParagraph"/>
        <w:numPr>
          <w:ilvl w:val="0"/>
          <w:numId w:val="3"/>
        </w:numPr>
        <w:spacing w:before="40" w:after="40"/>
      </w:pPr>
      <w:r>
        <w:t>Document the breach and remedial actions in the TLSPH Data Breach Log</w:t>
      </w:r>
    </w:p>
    <w:p w14:paraId="377E399A" w14:textId="77777777" w:rsidR="00CF3D90" w:rsidRDefault="00CF3D90">
      <w:pPr>
        <w:spacing w:after="80"/>
      </w:pPr>
    </w:p>
    <w:p w14:paraId="0074875D" w14:textId="77777777" w:rsidR="00CF3D90" w:rsidRDefault="00000000">
      <w:pPr>
        <w:spacing w:before="60" w:after="100"/>
      </w:pPr>
      <w:r>
        <w:t>ICO breach reporting portal: www.ico.org.uk/report-a-breach</w:t>
      </w:r>
    </w:p>
    <w:p w14:paraId="1179BA07" w14:textId="77777777" w:rsidR="00CF3D90" w:rsidRDefault="00CF3D90">
      <w:pPr>
        <w:spacing w:after="80"/>
      </w:pPr>
    </w:p>
    <w:p w14:paraId="05E25DB6" w14:textId="77777777" w:rsidR="00CF3D90" w:rsidRDefault="00000000">
      <w:pPr>
        <w:pBdr>
          <w:bottom w:val="single" w:sz="6" w:space="4" w:color="2E75B6"/>
        </w:pBdr>
        <w:spacing w:before="320" w:after="120"/>
      </w:pPr>
      <w:r>
        <w:rPr>
          <w:b/>
          <w:bCs/>
          <w:color w:val="1B3A6B"/>
          <w:sz w:val="28"/>
          <w:szCs w:val="28"/>
        </w:rPr>
        <w:t>9. Consent</w:t>
      </w:r>
    </w:p>
    <w:p w14:paraId="5831D2D0" w14:textId="77777777" w:rsidR="00CF3D90" w:rsidRDefault="00000000">
      <w:pPr>
        <w:spacing w:before="60" w:after="100"/>
      </w:pPr>
      <w:r>
        <w:t>Where consent is the lawful basis, TLSPH ensures it is freely given, specific, informed, unambiguous, and withdrawable at any time without detriment. Consent records are retained per the Data Retention Policy.</w:t>
      </w:r>
    </w:p>
    <w:p w14:paraId="0A7166E5" w14:textId="77777777" w:rsidR="00CF3D90" w:rsidRDefault="00CF3D90">
      <w:pPr>
        <w:spacing w:after="80"/>
      </w:pPr>
    </w:p>
    <w:p w14:paraId="3B851B96" w14:textId="77777777" w:rsidR="00CF3D90" w:rsidRDefault="00000000">
      <w:pPr>
        <w:pBdr>
          <w:bottom w:val="single" w:sz="6" w:space="4" w:color="2E75B6"/>
        </w:pBdr>
        <w:spacing w:before="320" w:after="120"/>
      </w:pPr>
      <w:r>
        <w:rPr>
          <w:b/>
          <w:bCs/>
          <w:color w:val="1B3A6B"/>
          <w:sz w:val="28"/>
          <w:szCs w:val="28"/>
        </w:rPr>
        <w:t>10. Responsibilities</w:t>
      </w:r>
    </w:p>
    <w:p w14:paraId="7C800C66" w14:textId="77777777" w:rsidR="00CF3D90" w:rsidRDefault="00000000">
      <w:pPr>
        <w:pStyle w:val="ListParagraph"/>
        <w:numPr>
          <w:ilvl w:val="0"/>
          <w:numId w:val="2"/>
        </w:numPr>
        <w:spacing w:before="40" w:after="40"/>
      </w:pPr>
      <w:r>
        <w:t>Senior Leadership Team — overall accountability; ICO contact; policy implementation and review</w:t>
      </w:r>
    </w:p>
    <w:p w14:paraId="5768AD20" w14:textId="77777777" w:rsidR="00CF3D90" w:rsidRDefault="00000000">
      <w:pPr>
        <w:pStyle w:val="ListParagraph"/>
        <w:numPr>
          <w:ilvl w:val="0"/>
          <w:numId w:val="2"/>
        </w:numPr>
        <w:spacing w:before="40" w:after="40"/>
      </w:pPr>
      <w:r>
        <w:t>All staff and tutors — handle data per this policy; report breaches immediately</w:t>
      </w:r>
    </w:p>
    <w:p w14:paraId="65C67911" w14:textId="77777777" w:rsidR="00CF3D90" w:rsidRDefault="00000000">
      <w:pPr>
        <w:pStyle w:val="ListParagraph"/>
        <w:numPr>
          <w:ilvl w:val="0"/>
          <w:numId w:val="2"/>
        </w:numPr>
        <w:spacing w:before="40" w:after="40"/>
      </w:pPr>
      <w:r>
        <w:t>Data processors — process data only per TLSPH instructions and their DPA</w:t>
      </w:r>
    </w:p>
    <w:p w14:paraId="0A1F7638" w14:textId="77777777" w:rsidR="00CF3D90" w:rsidRDefault="00CF3D90">
      <w:pPr>
        <w:spacing w:after="80"/>
      </w:pPr>
    </w:p>
    <w:p w14:paraId="7406EB2D" w14:textId="77777777" w:rsidR="00CF3D90" w:rsidRDefault="00000000">
      <w:pPr>
        <w:pBdr>
          <w:bottom w:val="single" w:sz="6" w:space="4" w:color="2E75B6"/>
        </w:pBdr>
        <w:spacing w:before="320" w:after="120"/>
      </w:pPr>
      <w:r>
        <w:rPr>
          <w:b/>
          <w:bCs/>
          <w:color w:val="1B3A6B"/>
          <w:sz w:val="28"/>
          <w:szCs w:val="28"/>
        </w:rPr>
        <w:t>11. Related Policies</w:t>
      </w:r>
    </w:p>
    <w:p w14:paraId="48791D53" w14:textId="77777777" w:rsidR="00CF3D90" w:rsidRDefault="00000000">
      <w:pPr>
        <w:pStyle w:val="ListParagraph"/>
        <w:numPr>
          <w:ilvl w:val="0"/>
          <w:numId w:val="2"/>
        </w:numPr>
        <w:spacing w:before="40" w:after="40"/>
      </w:pPr>
      <w:r>
        <w:t>Cookie Policy (TLSPH-POL-001)</w:t>
      </w:r>
    </w:p>
    <w:p w14:paraId="6966DC48" w14:textId="77777777" w:rsidR="00CF3D90" w:rsidRDefault="00000000">
      <w:pPr>
        <w:pStyle w:val="ListParagraph"/>
        <w:numPr>
          <w:ilvl w:val="0"/>
          <w:numId w:val="2"/>
        </w:numPr>
        <w:spacing w:before="40" w:after="40"/>
      </w:pPr>
      <w:r>
        <w:t>Data Retention Policy (TLSPH-POL-007)</w:t>
      </w:r>
    </w:p>
    <w:p w14:paraId="2A1D9BE9" w14:textId="77777777" w:rsidR="00CF3D90" w:rsidRDefault="00000000">
      <w:pPr>
        <w:pStyle w:val="ListParagraph"/>
        <w:numPr>
          <w:ilvl w:val="0"/>
          <w:numId w:val="2"/>
        </w:numPr>
        <w:spacing w:before="40" w:after="40"/>
      </w:pPr>
      <w:r>
        <w:t>Safeguarding Policy (TLSPH-POL-003)</w:t>
      </w:r>
    </w:p>
    <w:p w14:paraId="4CF306BF" w14:textId="77777777" w:rsidR="00CF3D90" w:rsidRDefault="00000000">
      <w:pPr>
        <w:pStyle w:val="ListParagraph"/>
        <w:numPr>
          <w:ilvl w:val="0"/>
          <w:numId w:val="2"/>
        </w:numPr>
        <w:spacing w:before="40" w:after="40"/>
      </w:pPr>
      <w:r>
        <w:t>Business Continuity &amp; Contingency Policy (TLSPH-POL-009)</w:t>
      </w:r>
    </w:p>
    <w:p w14:paraId="2256A3B5" w14:textId="77777777" w:rsidR="00CF3D90" w:rsidRDefault="00000000">
      <w:pPr>
        <w:pStyle w:val="ListParagraph"/>
        <w:numPr>
          <w:ilvl w:val="0"/>
          <w:numId w:val="2"/>
        </w:numPr>
        <w:spacing w:before="40" w:after="40"/>
      </w:pPr>
      <w:r>
        <w:lastRenderedPageBreak/>
        <w:t>Privacy Policy (published on the TLSPH website)</w:t>
      </w:r>
    </w:p>
    <w:p w14:paraId="70D313D1" w14:textId="77777777" w:rsidR="00CF3D90" w:rsidRDefault="00CF3D90">
      <w:pPr>
        <w:spacing w:after="80"/>
      </w:pPr>
    </w:p>
    <w:p w14:paraId="6CAC3A8D" w14:textId="77777777" w:rsidR="00CF3D90" w:rsidRDefault="00000000">
      <w:pPr>
        <w:pBdr>
          <w:bottom w:val="single" w:sz="6" w:space="4" w:color="2E75B6"/>
        </w:pBdr>
        <w:spacing w:before="320" w:after="120"/>
      </w:pPr>
      <w:r>
        <w:rPr>
          <w:b/>
          <w:bCs/>
          <w:color w:val="1B3A6B"/>
          <w:sz w:val="28"/>
          <w:szCs w:val="28"/>
        </w:rPr>
        <w:t>12. Contact</w:t>
      </w:r>
    </w:p>
    <w:p w14:paraId="264F165B" w14:textId="77777777" w:rsidR="00CF3D90" w:rsidRDefault="00CF3D90">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635A3FF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3196086" w14:textId="77777777" w:rsidR="00CF3D90" w:rsidRDefault="00000000">
            <w:r>
              <w:rPr>
                <w:b/>
                <w:bCs/>
                <w:color w:val="1B3A6B"/>
                <w:sz w:val="20"/>
                <w:szCs w:val="20"/>
              </w:rPr>
              <w:t>Data Protection Queries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F98C8C0" w14:textId="77777777" w:rsidR="00CF3D90" w:rsidRDefault="00000000">
            <w:r>
              <w:rPr>
                <w:sz w:val="20"/>
                <w:szCs w:val="20"/>
              </w:rPr>
              <w:t>info@thelondonschoolofpublichealth.com (subject: Data Protection)</w:t>
            </w:r>
          </w:p>
        </w:tc>
      </w:tr>
    </w:tbl>
    <w:p w14:paraId="18540AB9" w14:textId="77777777" w:rsidR="00CF3D90" w:rsidRDefault="00CF3D90">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5220B27D"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B2C0C95" w14:textId="77777777" w:rsidR="00CF3D90" w:rsidRDefault="00000000">
            <w:r>
              <w:rPr>
                <w:b/>
                <w:bCs/>
                <w:color w:val="1B3A6B"/>
                <w:sz w:val="20"/>
                <w:szCs w:val="20"/>
              </w:rPr>
              <w:t>ICO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3EBA4DF" w14:textId="77777777" w:rsidR="00CF3D90" w:rsidRDefault="00000000">
            <w:r>
              <w:rPr>
                <w:sz w:val="20"/>
                <w:szCs w:val="20"/>
              </w:rPr>
              <w:t>www.ico.org.uk  |  0303 123 1113</w:t>
            </w:r>
          </w:p>
        </w:tc>
      </w:tr>
    </w:tbl>
    <w:p w14:paraId="4B6C3715" w14:textId="77777777" w:rsidR="00CF3D90" w:rsidRDefault="00CF3D90">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F3D90" w14:paraId="1AF651C0"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189FA06" w14:textId="77777777" w:rsidR="00CF3D90" w:rsidRDefault="00000000">
            <w:r>
              <w:rPr>
                <w:b/>
                <w:bCs/>
                <w:color w:val="1B3A6B"/>
                <w:sz w:val="20"/>
                <w:szCs w:val="20"/>
              </w:rPr>
              <w:t>ICO Breach Reporting</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549600A" w14:textId="77777777" w:rsidR="00CF3D90" w:rsidRDefault="00000000">
            <w:r>
              <w:rPr>
                <w:sz w:val="20"/>
                <w:szCs w:val="20"/>
              </w:rPr>
              <w:t>www.ico.org.uk/report-a-breach</w:t>
            </w:r>
          </w:p>
        </w:tc>
      </w:tr>
    </w:tbl>
    <w:p w14:paraId="76AAFECD" w14:textId="77777777" w:rsidR="00CF3D90" w:rsidRDefault="00CF3D90">
      <w:pPr>
        <w:spacing w:after="80"/>
      </w:pPr>
    </w:p>
    <w:p w14:paraId="18FDE653" w14:textId="77777777" w:rsidR="00CF3D90" w:rsidRDefault="00CF3D90">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F3D90" w14:paraId="39B00A6B"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5F79CEB3" w14:textId="77777777" w:rsidR="00CF3D90" w:rsidRDefault="00000000">
            <w:pPr>
              <w:spacing w:before="40" w:after="40"/>
            </w:pPr>
            <w:r>
              <w:rPr>
                <w:b/>
                <w:bCs/>
                <w:color w:val="1B3A6B"/>
                <w:sz w:val="20"/>
                <w:szCs w:val="20"/>
              </w:rPr>
              <w:t>Policy Review</w:t>
            </w:r>
          </w:p>
          <w:p w14:paraId="5EFB8CFB" w14:textId="77777777" w:rsidR="00CF3D90" w:rsidRDefault="00000000">
            <w:pPr>
              <w:spacing w:before="20" w:after="20"/>
            </w:pPr>
            <w:r>
              <w:rPr>
                <w:sz w:val="19"/>
                <w:szCs w:val="19"/>
              </w:rPr>
              <w:t>Reviewed annually to ensure compliance with the UK GDPR, Data Protection Act 2018, PECR, and ICO Codes of Practice. Updated promptly following any material change in UK data protection law.</w:t>
            </w:r>
          </w:p>
          <w:p w14:paraId="735C5EDC" w14:textId="77777777" w:rsidR="00CF3D90" w:rsidRDefault="00000000">
            <w:pPr>
              <w:spacing w:before="20" w:after="40"/>
            </w:pPr>
            <w:r>
              <w:rPr>
                <w:i/>
                <w:iCs/>
                <w:color w:val="555555"/>
                <w:sz w:val="19"/>
                <w:szCs w:val="19"/>
              </w:rPr>
              <w:t>Last Reviewed: November 2025   |   Next Review Due: November 2026   |   Version: 1.0</w:t>
            </w:r>
          </w:p>
        </w:tc>
      </w:tr>
    </w:tbl>
    <w:p w14:paraId="318C8550" w14:textId="77777777" w:rsidR="004065EF" w:rsidRDefault="004065EF"/>
    <w:sectPr w:rsidR="004065EF">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C03A" w14:textId="77777777" w:rsidR="004065EF" w:rsidRDefault="004065EF">
      <w:r>
        <w:separator/>
      </w:r>
    </w:p>
  </w:endnote>
  <w:endnote w:type="continuationSeparator" w:id="0">
    <w:p w14:paraId="1768EAFE" w14:textId="77777777" w:rsidR="004065EF" w:rsidRDefault="0040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E165" w14:textId="77777777" w:rsidR="00CF3D90" w:rsidRDefault="00000000">
    <w:pPr>
      <w:pBdr>
        <w:top w:val="single" w:sz="4" w:space="4" w:color="2E75B6"/>
      </w:pBdr>
      <w:spacing w:before="80"/>
    </w:pPr>
    <w:r>
      <w:rPr>
        <w:color w:val="888888"/>
        <w:sz w:val="16"/>
        <w:szCs w:val="16"/>
      </w:rPr>
      <w:t>Data Protection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8223" w14:textId="77777777" w:rsidR="004065EF" w:rsidRDefault="004065EF">
      <w:r>
        <w:separator/>
      </w:r>
    </w:p>
  </w:footnote>
  <w:footnote w:type="continuationSeparator" w:id="0">
    <w:p w14:paraId="3CA6BCDD" w14:textId="77777777" w:rsidR="004065EF" w:rsidRDefault="0040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5825" w14:textId="77777777" w:rsidR="00CF3D90" w:rsidRDefault="00000000">
    <w:pPr>
      <w:pBdr>
        <w:bottom w:val="single" w:sz="6" w:space="6" w:color="2E75B6"/>
      </w:pBdr>
    </w:pPr>
    <w:r>
      <w:rPr>
        <w:noProof/>
      </w:rPr>
      <w:drawing>
        <wp:inline distT="0" distB="0" distL="0" distR="0" wp14:anchorId="1125E54D" wp14:editId="75DA7557">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9A1"/>
    <w:multiLevelType w:val="hybridMultilevel"/>
    <w:tmpl w:val="4648ACCE"/>
    <w:lvl w:ilvl="0" w:tplc="0C80D4E8">
      <w:start w:val="1"/>
      <w:numFmt w:val="bullet"/>
      <w:lvlText w:val="•"/>
      <w:lvlJc w:val="left"/>
      <w:pPr>
        <w:ind w:left="720" w:hanging="360"/>
      </w:pPr>
    </w:lvl>
    <w:lvl w:ilvl="1" w:tplc="599AFB04">
      <w:numFmt w:val="decimal"/>
      <w:lvlText w:val=""/>
      <w:lvlJc w:val="left"/>
    </w:lvl>
    <w:lvl w:ilvl="2" w:tplc="93F6CDB2">
      <w:numFmt w:val="decimal"/>
      <w:lvlText w:val=""/>
      <w:lvlJc w:val="left"/>
    </w:lvl>
    <w:lvl w:ilvl="3" w:tplc="DCBA82D4">
      <w:numFmt w:val="decimal"/>
      <w:lvlText w:val=""/>
      <w:lvlJc w:val="left"/>
    </w:lvl>
    <w:lvl w:ilvl="4" w:tplc="9AF89890">
      <w:numFmt w:val="decimal"/>
      <w:lvlText w:val=""/>
      <w:lvlJc w:val="left"/>
    </w:lvl>
    <w:lvl w:ilvl="5" w:tplc="73DE8678">
      <w:numFmt w:val="decimal"/>
      <w:lvlText w:val=""/>
      <w:lvlJc w:val="left"/>
    </w:lvl>
    <w:lvl w:ilvl="6" w:tplc="38EABBF4">
      <w:numFmt w:val="decimal"/>
      <w:lvlText w:val=""/>
      <w:lvlJc w:val="left"/>
    </w:lvl>
    <w:lvl w:ilvl="7" w:tplc="F6C0B220">
      <w:numFmt w:val="decimal"/>
      <w:lvlText w:val=""/>
      <w:lvlJc w:val="left"/>
    </w:lvl>
    <w:lvl w:ilvl="8" w:tplc="01A6AF96">
      <w:numFmt w:val="decimal"/>
      <w:lvlText w:val=""/>
      <w:lvlJc w:val="left"/>
    </w:lvl>
  </w:abstractNum>
  <w:abstractNum w:abstractNumId="1" w15:restartNumberingAfterBreak="0">
    <w:nsid w:val="2DFB39AA"/>
    <w:multiLevelType w:val="hybridMultilevel"/>
    <w:tmpl w:val="003E89A8"/>
    <w:lvl w:ilvl="0" w:tplc="652E0480">
      <w:start w:val="1"/>
      <w:numFmt w:val="decimal"/>
      <w:lvlText w:val="%1."/>
      <w:lvlJc w:val="left"/>
      <w:pPr>
        <w:ind w:left="720" w:hanging="360"/>
      </w:pPr>
    </w:lvl>
    <w:lvl w:ilvl="1" w:tplc="19263D40">
      <w:numFmt w:val="decimal"/>
      <w:lvlText w:val=""/>
      <w:lvlJc w:val="left"/>
    </w:lvl>
    <w:lvl w:ilvl="2" w:tplc="4C0CD644">
      <w:numFmt w:val="decimal"/>
      <w:lvlText w:val=""/>
      <w:lvlJc w:val="left"/>
    </w:lvl>
    <w:lvl w:ilvl="3" w:tplc="75C6B510">
      <w:numFmt w:val="decimal"/>
      <w:lvlText w:val=""/>
      <w:lvlJc w:val="left"/>
    </w:lvl>
    <w:lvl w:ilvl="4" w:tplc="A8D685DC">
      <w:numFmt w:val="decimal"/>
      <w:lvlText w:val=""/>
      <w:lvlJc w:val="left"/>
    </w:lvl>
    <w:lvl w:ilvl="5" w:tplc="A93AC95A">
      <w:numFmt w:val="decimal"/>
      <w:lvlText w:val=""/>
      <w:lvlJc w:val="left"/>
    </w:lvl>
    <w:lvl w:ilvl="6" w:tplc="0BD07B82">
      <w:numFmt w:val="decimal"/>
      <w:lvlText w:val=""/>
      <w:lvlJc w:val="left"/>
    </w:lvl>
    <w:lvl w:ilvl="7" w:tplc="8902A22E">
      <w:numFmt w:val="decimal"/>
      <w:lvlText w:val=""/>
      <w:lvlJc w:val="left"/>
    </w:lvl>
    <w:lvl w:ilvl="8" w:tplc="3D84546E">
      <w:numFmt w:val="decimal"/>
      <w:lvlText w:val=""/>
      <w:lvlJc w:val="left"/>
    </w:lvl>
  </w:abstractNum>
  <w:abstractNum w:abstractNumId="2" w15:restartNumberingAfterBreak="0">
    <w:nsid w:val="7EFE3B2F"/>
    <w:multiLevelType w:val="hybridMultilevel"/>
    <w:tmpl w:val="4E6E3C36"/>
    <w:lvl w:ilvl="0" w:tplc="5B5687B2">
      <w:start w:val="1"/>
      <w:numFmt w:val="bullet"/>
      <w:lvlText w:val="●"/>
      <w:lvlJc w:val="left"/>
      <w:pPr>
        <w:ind w:left="720" w:hanging="360"/>
      </w:pPr>
    </w:lvl>
    <w:lvl w:ilvl="1" w:tplc="40DCAEE6">
      <w:start w:val="1"/>
      <w:numFmt w:val="bullet"/>
      <w:lvlText w:val="○"/>
      <w:lvlJc w:val="left"/>
      <w:pPr>
        <w:ind w:left="1440" w:hanging="360"/>
      </w:pPr>
    </w:lvl>
    <w:lvl w:ilvl="2" w:tplc="54362190">
      <w:start w:val="1"/>
      <w:numFmt w:val="bullet"/>
      <w:lvlText w:val="■"/>
      <w:lvlJc w:val="left"/>
      <w:pPr>
        <w:ind w:left="2160" w:hanging="360"/>
      </w:pPr>
    </w:lvl>
    <w:lvl w:ilvl="3" w:tplc="D31679E2">
      <w:start w:val="1"/>
      <w:numFmt w:val="bullet"/>
      <w:lvlText w:val="●"/>
      <w:lvlJc w:val="left"/>
      <w:pPr>
        <w:ind w:left="2880" w:hanging="360"/>
      </w:pPr>
    </w:lvl>
    <w:lvl w:ilvl="4" w:tplc="3BB63E62">
      <w:start w:val="1"/>
      <w:numFmt w:val="bullet"/>
      <w:lvlText w:val="○"/>
      <w:lvlJc w:val="left"/>
      <w:pPr>
        <w:ind w:left="3600" w:hanging="360"/>
      </w:pPr>
    </w:lvl>
    <w:lvl w:ilvl="5" w:tplc="8CDC7EC4">
      <w:start w:val="1"/>
      <w:numFmt w:val="bullet"/>
      <w:lvlText w:val="■"/>
      <w:lvlJc w:val="left"/>
      <w:pPr>
        <w:ind w:left="4320" w:hanging="360"/>
      </w:pPr>
    </w:lvl>
    <w:lvl w:ilvl="6" w:tplc="9D7896DC">
      <w:start w:val="1"/>
      <w:numFmt w:val="bullet"/>
      <w:lvlText w:val="●"/>
      <w:lvlJc w:val="left"/>
      <w:pPr>
        <w:ind w:left="5040" w:hanging="360"/>
      </w:pPr>
    </w:lvl>
    <w:lvl w:ilvl="7" w:tplc="EC18D5FA">
      <w:start w:val="1"/>
      <w:numFmt w:val="bullet"/>
      <w:lvlText w:val="●"/>
      <w:lvlJc w:val="left"/>
      <w:pPr>
        <w:ind w:left="5760" w:hanging="360"/>
      </w:pPr>
    </w:lvl>
    <w:lvl w:ilvl="8" w:tplc="83A4AE90">
      <w:start w:val="1"/>
      <w:numFmt w:val="bullet"/>
      <w:lvlText w:val="●"/>
      <w:lvlJc w:val="left"/>
      <w:pPr>
        <w:ind w:left="6480" w:hanging="360"/>
      </w:pPr>
    </w:lvl>
  </w:abstractNum>
  <w:num w:numId="1" w16cid:durableId="438645424">
    <w:abstractNumId w:val="2"/>
    <w:lvlOverride w:ilvl="0">
      <w:startOverride w:val="1"/>
    </w:lvlOverride>
  </w:num>
  <w:num w:numId="2" w16cid:durableId="1221553724">
    <w:abstractNumId w:val="0"/>
    <w:lvlOverride w:ilvl="0">
      <w:startOverride w:val="1"/>
    </w:lvlOverride>
  </w:num>
  <w:num w:numId="3" w16cid:durableId="183102040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90"/>
    <w:rsid w:val="004065EF"/>
    <w:rsid w:val="008042EB"/>
    <w:rsid w:val="00CF3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FB3A41"/>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2026-05-11T17:24:00Z</dcterms:created>
  <dcterms:modified xsi:type="dcterms:W3CDTF">2026-05-11T17:24:00Z</dcterms:modified>
</cp:coreProperties>
</file>