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t xml:space="preserve"/>
      </w:r>
    </w:p>
    <w:p>
      <w:pPr>
        <w:spacing w:after="40" w:before="80"/>
      </w:pPr>
      <w:r>
        <w:rPr>
          <w:rFonts w:ascii="Arial" w:cs="Arial" w:eastAsia="Arial" w:hAnsi="Arial"/>
          <w:b/>
          <w:bCs/>
          <w:color w:val="1B3A6B"/>
          <w:sz w:val="48"/>
          <w:szCs w:val="48"/>
        </w:rPr>
        <w:t xml:space="preserve">Data Retention Policy</w:t>
      </w:r>
    </w:p>
    <w:p>
      <w:pPr>
        <w:pBdr>
          <w:bottom w:val="single" w:color="2E75B6" w:sz="8" w:space="4"/>
        </w:pBdr>
        <w:spacing w:after="200" w:before="0"/>
      </w:pPr>
      <w:r>
        <w:rPr>
          <w:rFonts w:ascii="Arial" w:cs="Arial" w:eastAsia="Arial" w:hAnsi="Arial"/>
          <w:color w:val="555555"/>
          <w:sz w:val="22"/>
          <w:szCs w:val="22"/>
        </w:rPr>
        <w:t xml:space="preserve">TLSPH LTD  |  The London School of Public Health</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Policy Reference</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TLSPH-POL-007</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Version</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1.0</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Date Issued</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July 2025</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Next Review Date</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July 2026</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Policy Owner</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Senior Leadership Team</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Applies To</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All personal and organisational data held by TLSPH LTD</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UK Legislative Framework</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UK General Data Protection Regulation (UK GDPR) | Data Protection Act 2018 | Limitation Act 1980 | Companies Act 2006 | Finance Act 2021 | HMRC record-keeping requirements | Ofqual General Conditions of Recognition | Education Act 1996 | Public Records Act 1958 | ICO Retention Guidance</w:t>
            </w:r>
          </w:p>
        </w:tc>
      </w:tr>
    </w:tbl>
    <w:p>
      <w:pPr>
        <w:spacing w:after="80" w:before="0"/>
      </w:pPr>
      <w:r>
        <w:t xml:space="preserve"/>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EF9F0" w:val="clear"/>
            <w:tcMar>
              <w:top w:type="dxa" w:w="120"/>
              <w:left w:type="dxa" w:w="200"/>
              <w:bottom w:type="dxa" w:w="120"/>
              <w:right w:type="dxa" w:w="200"/>
            </w:tcMar>
          </w:tcPr>
          <w:p>
            <w:pPr>
              <w:spacing w:after="60" w:before="0"/>
            </w:pPr>
            <w:r>
              <w:rPr>
                <w:rFonts w:ascii="Arial" w:cs="Arial" w:eastAsia="Arial" w:hAnsi="Arial"/>
                <w:b/>
                <w:bCs/>
                <w:color w:val="D4720A"/>
                <w:sz w:val="21"/>
                <w:szCs w:val="21"/>
              </w:rPr>
              <w:t xml:space="preserve">Core Principle — UK GDPR Storage Limitation</w:t>
            </w:r>
          </w:p>
          <w:p>
            <w:pPr>
              <w:spacing w:after="10" w:before="10"/>
            </w:pPr>
            <w:r>
              <w:rPr>
                <w:rFonts w:ascii="Arial" w:cs="Arial" w:eastAsia="Arial" w:hAnsi="Arial"/>
                <w:sz w:val="20"/>
                <w:szCs w:val="20"/>
              </w:rPr>
              <w:t xml:space="preserve">Under Article 5(1)(e) of the UK General Data Protection Regulation (UK GDPR), personal data must not be kept in a form that permits identification of data subjects for longer than is necessary for the purposes for which it is processed. This policy gives effect to that principle across all data held by TLSPH LTD.</w:t>
            </w:r>
          </w:p>
        </w:tc>
      </w:tr>
    </w:tbl>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1. Purpose</w:t>
      </w:r>
    </w:p>
    <w:p>
      <w:pPr>
        <w:spacing w:after="100" w:before="60"/>
      </w:pPr>
      <w:r>
        <w:rPr>
          <w:rFonts w:ascii="Arial" w:cs="Arial" w:eastAsia="Arial" w:hAnsi="Arial"/>
          <w:sz w:val="22"/>
          <w:szCs w:val="22"/>
        </w:rPr>
        <w:t xml:space="preserve">This policy sets out the data retention obligations of TLSPH LTD (trading as The London School of Public Health, referred to as "TLSPH") and provides a schedule of retention periods for the categories of data held by the organisation.</w:t>
      </w:r>
    </w:p>
    <w:p>
      <w:pPr>
        <w:spacing w:after="100" w:before="60"/>
      </w:pPr>
      <w:r>
        <w:rPr>
          <w:rFonts w:ascii="Arial" w:cs="Arial" w:eastAsia="Arial" w:hAnsi="Arial"/>
          <w:sz w:val="22"/>
          <w:szCs w:val="22"/>
        </w:rPr>
        <w:t xml:space="preserve">The policy ensures that TLSPH retains data only for as long as is necessary, lawful, and proportionate, and that data is disposed of securely when retention periods expire. It applies to all personal data and organisational records held in any format — digital, paper, or otherwise.</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2. UK Legal Framework</w:t>
      </w:r>
    </w:p>
    <w:p>
      <w:pPr>
        <w:spacing w:after="80" w:before="220"/>
      </w:pPr>
      <w:r>
        <w:rPr>
          <w:rFonts w:ascii="Arial" w:cs="Arial" w:eastAsia="Arial" w:hAnsi="Arial"/>
          <w:b/>
          <w:bCs/>
          <w:color w:val="2E75B6"/>
          <w:sz w:val="24"/>
          <w:szCs w:val="24"/>
        </w:rPr>
        <w:t xml:space="preserve">2.1 UK GDPR and Data Protection Act 2018</w:t>
      </w:r>
    </w:p>
    <w:p>
      <w:pPr>
        <w:spacing w:after="100" w:before="60"/>
      </w:pPr>
      <w:r>
        <w:rPr>
          <w:rFonts w:ascii="Arial" w:cs="Arial" w:eastAsia="Arial" w:hAnsi="Arial"/>
          <w:sz w:val="22"/>
          <w:szCs w:val="22"/>
        </w:rPr>
        <w:t xml:space="preserve">The UK General Data Protection Regulation (UK GDPR), as retained in UK law by the European Union (Withdrawal) Act 2018, and supplemented by the Data Protection Act 2018, sets out six lawfulness principles for processing personal data. Relevant to retention are:</w:t>
      </w:r>
    </w:p>
    <w:p>
      <w:pPr>
        <w:pStyle w:val="ListParagraph"/>
        <w:numPr>
          <w:ilvl w:val="0"/>
          <w:numId w:val="2"/>
        </w:numPr>
        <w:spacing w:after="40" w:before="40"/>
      </w:pPr>
      <w:r>
        <w:rPr>
          <w:rFonts w:ascii="Arial" w:cs="Arial" w:eastAsia="Arial" w:hAnsi="Arial"/>
          <w:sz w:val="22"/>
          <w:szCs w:val="22"/>
        </w:rPr>
        <w:t xml:space="preserve">Purpose limitation (Article 5(1)(b)) — data must be collected for specified, explicit, and legitimate purposes and not further processed in a manner incompatible with those purposes</w:t>
      </w:r>
    </w:p>
    <w:p>
      <w:pPr>
        <w:pStyle w:val="ListParagraph"/>
        <w:numPr>
          <w:ilvl w:val="0"/>
          <w:numId w:val="2"/>
        </w:numPr>
        <w:spacing w:after="40" w:before="40"/>
      </w:pPr>
      <w:r>
        <w:rPr>
          <w:rFonts w:ascii="Arial" w:cs="Arial" w:eastAsia="Arial" w:hAnsi="Arial"/>
          <w:sz w:val="22"/>
          <w:szCs w:val="22"/>
        </w:rPr>
        <w:t xml:space="preserve">Storage limitation (Article 5(1)(e)) — data must not be kept longer than necessary for the purpose for which it was collected</w:t>
      </w:r>
    </w:p>
    <w:p>
      <w:pPr>
        <w:pStyle w:val="ListParagraph"/>
        <w:numPr>
          <w:ilvl w:val="0"/>
          <w:numId w:val="2"/>
        </w:numPr>
        <w:spacing w:after="40" w:before="40"/>
      </w:pPr>
      <w:r>
        <w:rPr>
          <w:rFonts w:ascii="Arial" w:cs="Arial" w:eastAsia="Arial" w:hAnsi="Arial"/>
          <w:sz w:val="22"/>
          <w:szCs w:val="22"/>
        </w:rPr>
        <w:t xml:space="preserve">Data minimisation (Article 5(1)(c)) — data must be adequate, relevant, and limited to what is necessary</w:t>
      </w:r>
    </w:p>
    <w:p>
      <w:pPr>
        <w:spacing w:after="80" w:before="220"/>
      </w:pPr>
      <w:r>
        <w:rPr>
          <w:rFonts w:ascii="Arial" w:cs="Arial" w:eastAsia="Arial" w:hAnsi="Arial"/>
          <w:b/>
          <w:bCs/>
          <w:color w:val="2E75B6"/>
          <w:sz w:val="24"/>
          <w:szCs w:val="24"/>
        </w:rPr>
        <w:t xml:space="preserve">2.2 Limitation Act 1980</w:t>
      </w:r>
    </w:p>
    <w:p>
      <w:pPr>
        <w:spacing w:after="100" w:before="60"/>
      </w:pPr>
      <w:r>
        <w:rPr>
          <w:rFonts w:ascii="Arial" w:cs="Arial" w:eastAsia="Arial" w:hAnsi="Arial"/>
          <w:sz w:val="22"/>
          <w:szCs w:val="22"/>
        </w:rPr>
        <w:t xml:space="preserve">The Limitation Act 1980 sets out the time limits within which legal proceedings may be brought in England and Wales. These limits inform minimum retention periods for records that may be needed to defend or bring a legal claim:</w:t>
      </w:r>
    </w:p>
    <w:p>
      <w:pPr>
        <w:pStyle w:val="ListParagraph"/>
        <w:numPr>
          <w:ilvl w:val="0"/>
          <w:numId w:val="2"/>
        </w:numPr>
        <w:spacing w:after="40" w:before="40"/>
      </w:pPr>
      <w:r>
        <w:rPr>
          <w:rFonts w:ascii="Arial" w:cs="Arial" w:eastAsia="Arial" w:hAnsi="Arial"/>
          <w:sz w:val="22"/>
          <w:szCs w:val="22"/>
        </w:rPr>
        <w:t xml:space="preserve">General contract claims: 6 years from the date of breach (s.5)</w:t>
      </w:r>
    </w:p>
    <w:p>
      <w:pPr>
        <w:pStyle w:val="ListParagraph"/>
        <w:numPr>
          <w:ilvl w:val="0"/>
          <w:numId w:val="2"/>
        </w:numPr>
        <w:spacing w:after="40" w:before="40"/>
      </w:pPr>
      <w:r>
        <w:rPr>
          <w:rFonts w:ascii="Arial" w:cs="Arial" w:eastAsia="Arial" w:hAnsi="Arial"/>
          <w:sz w:val="22"/>
          <w:szCs w:val="22"/>
        </w:rPr>
        <w:t xml:space="preserve">Claims under a deed: 12 years (s.8)</w:t>
      </w:r>
    </w:p>
    <w:p>
      <w:pPr>
        <w:pStyle w:val="ListParagraph"/>
        <w:numPr>
          <w:ilvl w:val="0"/>
          <w:numId w:val="2"/>
        </w:numPr>
        <w:spacing w:after="40" w:before="40"/>
      </w:pPr>
      <w:r>
        <w:rPr>
          <w:rFonts w:ascii="Arial" w:cs="Arial" w:eastAsia="Arial" w:hAnsi="Arial"/>
          <w:sz w:val="22"/>
          <w:szCs w:val="22"/>
        </w:rPr>
        <w:t xml:space="preserve">Personal injury claims: 3 years from the date of knowledge (s.11)</w:t>
      </w:r>
    </w:p>
    <w:p>
      <w:pPr>
        <w:spacing w:after="80" w:before="220"/>
      </w:pPr>
      <w:r>
        <w:rPr>
          <w:rFonts w:ascii="Arial" w:cs="Arial" w:eastAsia="Arial" w:hAnsi="Arial"/>
          <w:b/>
          <w:bCs/>
          <w:color w:val="2E75B6"/>
          <w:sz w:val="24"/>
          <w:szCs w:val="24"/>
        </w:rPr>
        <w:t xml:space="preserve">2.3 Companies Act 2006 and HMRC Requirements</w:t>
      </w:r>
    </w:p>
    <w:p>
      <w:pPr>
        <w:spacing w:after="100" w:before="60"/>
      </w:pPr>
      <w:r>
        <w:rPr>
          <w:rFonts w:ascii="Arial" w:cs="Arial" w:eastAsia="Arial" w:hAnsi="Arial"/>
          <w:sz w:val="22"/>
          <w:szCs w:val="22"/>
        </w:rPr>
        <w:t xml:space="preserve">The Companies Act 2006 requires companies to retain certain financial and corporate records. HMRC guidance requires businesses to retain financial records for a minimum of 6 years for VAT purposes and 5 years for self-assessment. TLSPH complies with all applicable HMRC record-keeping requirements under the Finance Act 2021 and associated legislation.</w:t>
      </w:r>
    </w:p>
    <w:p>
      <w:pPr>
        <w:spacing w:after="80" w:before="220"/>
      </w:pPr>
      <w:r>
        <w:rPr>
          <w:rFonts w:ascii="Arial" w:cs="Arial" w:eastAsia="Arial" w:hAnsi="Arial"/>
          <w:b/>
          <w:bCs/>
          <w:color w:val="2E75B6"/>
          <w:sz w:val="24"/>
          <w:szCs w:val="24"/>
        </w:rPr>
        <w:t xml:space="preserve">2.4 Ofqual General Conditions of Recognition</w:t>
      </w:r>
    </w:p>
    <w:p>
      <w:pPr>
        <w:spacing w:after="100" w:before="60"/>
      </w:pPr>
      <w:r>
        <w:rPr>
          <w:rFonts w:ascii="Arial" w:cs="Arial" w:eastAsia="Arial" w:hAnsi="Arial"/>
          <w:sz w:val="22"/>
          <w:szCs w:val="22"/>
        </w:rPr>
        <w:t xml:space="preserve">As an approved centre for Ofqual-regulated qualifications, TLSPH is required under Ofqual's General Conditions of Recognition to retain assessment and learner records for specified periods. These requirements are reflected in the retention schedule at Section 5 and take precedence where they exceed the periods set out in this policy.</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3. Scope</w:t>
      </w:r>
    </w:p>
    <w:p>
      <w:pPr>
        <w:spacing w:after="100" w:before="60"/>
      </w:pPr>
      <w:r>
        <w:rPr>
          <w:rFonts w:ascii="Arial" w:cs="Arial" w:eastAsia="Arial" w:hAnsi="Arial"/>
          <w:sz w:val="22"/>
          <w:szCs w:val="22"/>
        </w:rPr>
        <w:t xml:space="preserve">This policy applies to all data held by TLSPH, including:</w:t>
      </w:r>
    </w:p>
    <w:p>
      <w:pPr>
        <w:pStyle w:val="ListParagraph"/>
        <w:numPr>
          <w:ilvl w:val="0"/>
          <w:numId w:val="2"/>
        </w:numPr>
        <w:spacing w:after="40" w:before="40"/>
      </w:pPr>
      <w:r>
        <w:rPr>
          <w:rFonts w:ascii="Arial" w:cs="Arial" w:eastAsia="Arial" w:hAnsi="Arial"/>
          <w:sz w:val="22"/>
          <w:szCs w:val="22"/>
        </w:rPr>
        <w:t xml:space="preserve">Student personal data — enrolment records, assessment records, contact details, financial records</w:t>
      </w:r>
    </w:p>
    <w:p>
      <w:pPr>
        <w:pStyle w:val="ListParagraph"/>
        <w:numPr>
          <w:ilvl w:val="0"/>
          <w:numId w:val="2"/>
        </w:numPr>
        <w:spacing w:after="40" w:before="40"/>
      </w:pPr>
      <w:r>
        <w:rPr>
          <w:rFonts w:ascii="Arial" w:cs="Arial" w:eastAsia="Arial" w:hAnsi="Arial"/>
          <w:sz w:val="22"/>
          <w:szCs w:val="22"/>
        </w:rPr>
        <w:t xml:space="preserve">Staff and contractor data — employment records, payroll, performance, DBS checks</w:t>
      </w:r>
    </w:p>
    <w:p>
      <w:pPr>
        <w:pStyle w:val="ListParagraph"/>
        <w:numPr>
          <w:ilvl w:val="0"/>
          <w:numId w:val="2"/>
        </w:numPr>
        <w:spacing w:after="40" w:before="40"/>
      </w:pPr>
      <w:r>
        <w:rPr>
          <w:rFonts w:ascii="Arial" w:cs="Arial" w:eastAsia="Arial" w:hAnsi="Arial"/>
          <w:sz w:val="22"/>
          <w:szCs w:val="22"/>
        </w:rPr>
        <w:t xml:space="preserve">Financial and accounting records — invoices, payment records, tax documents</w:t>
      </w:r>
    </w:p>
    <w:p>
      <w:pPr>
        <w:pStyle w:val="ListParagraph"/>
        <w:numPr>
          <w:ilvl w:val="0"/>
          <w:numId w:val="2"/>
        </w:numPr>
        <w:spacing w:after="40" w:before="40"/>
      </w:pPr>
      <w:r>
        <w:rPr>
          <w:rFonts w:ascii="Arial" w:cs="Arial" w:eastAsia="Arial" w:hAnsi="Arial"/>
          <w:sz w:val="22"/>
          <w:szCs w:val="22"/>
        </w:rPr>
        <w:t xml:space="preserve">Academic and qualification records — certificates, transcripts, awarding body submissions</w:t>
      </w:r>
    </w:p>
    <w:p>
      <w:pPr>
        <w:pStyle w:val="ListParagraph"/>
        <w:numPr>
          <w:ilvl w:val="0"/>
          <w:numId w:val="2"/>
        </w:numPr>
        <w:spacing w:after="40" w:before="40"/>
      </w:pPr>
      <w:r>
        <w:rPr>
          <w:rFonts w:ascii="Arial" w:cs="Arial" w:eastAsia="Arial" w:hAnsi="Arial"/>
          <w:sz w:val="22"/>
          <w:szCs w:val="22"/>
        </w:rPr>
        <w:t xml:space="preserve">Safeguarding records — concern reports, referrals, investigation outcomes</w:t>
      </w:r>
    </w:p>
    <w:p>
      <w:pPr>
        <w:pStyle w:val="ListParagraph"/>
        <w:numPr>
          <w:ilvl w:val="0"/>
          <w:numId w:val="2"/>
        </w:numPr>
        <w:spacing w:after="40" w:before="40"/>
      </w:pPr>
      <w:r>
        <w:rPr>
          <w:rFonts w:ascii="Arial" w:cs="Arial" w:eastAsia="Arial" w:hAnsi="Arial"/>
          <w:sz w:val="22"/>
          <w:szCs w:val="22"/>
        </w:rPr>
        <w:t xml:space="preserve">Complaints and appeals records</w:t>
      </w:r>
    </w:p>
    <w:p>
      <w:pPr>
        <w:pStyle w:val="ListParagraph"/>
        <w:numPr>
          <w:ilvl w:val="0"/>
          <w:numId w:val="2"/>
        </w:numPr>
        <w:spacing w:after="40" w:before="40"/>
      </w:pPr>
      <w:r>
        <w:rPr>
          <w:rFonts w:ascii="Arial" w:cs="Arial" w:eastAsia="Arial" w:hAnsi="Arial"/>
          <w:sz w:val="22"/>
          <w:szCs w:val="22"/>
        </w:rPr>
        <w:t xml:space="preserve">Marketing and communications data — email lists, consent records, enquiry logs</w:t>
      </w:r>
    </w:p>
    <w:p>
      <w:pPr>
        <w:pStyle w:val="ListParagraph"/>
        <w:numPr>
          <w:ilvl w:val="0"/>
          <w:numId w:val="2"/>
        </w:numPr>
        <w:spacing w:after="40" w:before="40"/>
      </w:pPr>
      <w:r>
        <w:rPr>
          <w:rFonts w:ascii="Arial" w:cs="Arial" w:eastAsia="Arial" w:hAnsi="Arial"/>
          <w:sz w:val="22"/>
          <w:szCs w:val="22"/>
        </w:rPr>
        <w:t xml:space="preserve">IT and system data — access logs, cookies, website analytics</w:t>
      </w:r>
    </w:p>
    <w:p>
      <w:pPr>
        <w:pStyle w:val="ListParagraph"/>
        <w:numPr>
          <w:ilvl w:val="0"/>
          <w:numId w:val="2"/>
        </w:numPr>
        <w:spacing w:after="40" w:before="40"/>
      </w:pPr>
      <w:r>
        <w:rPr>
          <w:rFonts w:ascii="Arial" w:cs="Arial" w:eastAsia="Arial" w:hAnsi="Arial"/>
          <w:sz w:val="22"/>
          <w:szCs w:val="22"/>
        </w:rPr>
        <w:t xml:space="preserve">Governance and legal records — contracts, board minutes, insurance documents</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4. Roles and Responsibilities</w:t>
      </w:r>
    </w:p>
    <w:p>
      <w:pPr>
        <w:spacing w:after="100" w:before="60"/>
      </w:pPr>
      <w:r>
        <w:rPr>
          <w:rFonts w:ascii="Arial" w:cs="Arial" w:eastAsia="Arial" w:hAnsi="Arial"/>
          <w:sz w:val="22"/>
          <w:szCs w:val="22"/>
        </w:rPr>
        <w:t xml:space="preserve">The Senior Leadership Team is responsible for:</w:t>
      </w:r>
    </w:p>
    <w:p>
      <w:pPr>
        <w:pStyle w:val="ListParagraph"/>
        <w:numPr>
          <w:ilvl w:val="0"/>
          <w:numId w:val="2"/>
        </w:numPr>
        <w:spacing w:after="40" w:before="40"/>
      </w:pPr>
      <w:r>
        <w:rPr>
          <w:rFonts w:ascii="Arial" w:cs="Arial" w:eastAsia="Arial" w:hAnsi="Arial"/>
          <w:sz w:val="22"/>
          <w:szCs w:val="22"/>
        </w:rPr>
        <w:t xml:space="preserve">Ensuring this policy is implemented and adhered to across the organisation</w:t>
      </w:r>
    </w:p>
    <w:p>
      <w:pPr>
        <w:pStyle w:val="ListParagraph"/>
        <w:numPr>
          <w:ilvl w:val="0"/>
          <w:numId w:val="2"/>
        </w:numPr>
        <w:spacing w:after="40" w:before="40"/>
      </w:pPr>
      <w:r>
        <w:rPr>
          <w:rFonts w:ascii="Arial" w:cs="Arial" w:eastAsia="Arial" w:hAnsi="Arial"/>
          <w:sz w:val="22"/>
          <w:szCs w:val="22"/>
        </w:rPr>
        <w:t xml:space="preserve">Conducting or overseeing the annual data audit</w:t>
      </w:r>
    </w:p>
    <w:p>
      <w:pPr>
        <w:pStyle w:val="ListParagraph"/>
        <w:numPr>
          <w:ilvl w:val="0"/>
          <w:numId w:val="2"/>
        </w:numPr>
        <w:spacing w:after="40" w:before="40"/>
      </w:pPr>
      <w:r>
        <w:rPr>
          <w:rFonts w:ascii="Arial" w:cs="Arial" w:eastAsia="Arial" w:hAnsi="Arial"/>
          <w:sz w:val="22"/>
          <w:szCs w:val="22"/>
        </w:rPr>
        <w:t xml:space="preserve">Ensuring secure disposal of data in accordance with this policy</w:t>
      </w:r>
    </w:p>
    <w:p>
      <w:pPr>
        <w:pStyle w:val="ListParagraph"/>
        <w:numPr>
          <w:ilvl w:val="0"/>
          <w:numId w:val="2"/>
        </w:numPr>
        <w:spacing w:after="40" w:before="40"/>
      </w:pPr>
      <w:r>
        <w:rPr>
          <w:rFonts w:ascii="Arial" w:cs="Arial" w:eastAsia="Arial" w:hAnsi="Arial"/>
          <w:sz w:val="22"/>
          <w:szCs w:val="22"/>
        </w:rPr>
        <w:t xml:space="preserve">Ensuring that any data processing activities are registered with the Information Commissioner's Office (ICO) where required</w:t>
      </w:r>
    </w:p>
    <w:p>
      <w:pPr>
        <w:pStyle w:val="ListParagraph"/>
        <w:numPr>
          <w:ilvl w:val="0"/>
          <w:numId w:val="2"/>
        </w:numPr>
        <w:spacing w:after="40" w:before="40"/>
      </w:pPr>
      <w:r>
        <w:rPr>
          <w:rFonts w:ascii="Arial" w:cs="Arial" w:eastAsia="Arial" w:hAnsi="Arial"/>
          <w:sz w:val="22"/>
          <w:szCs w:val="22"/>
        </w:rPr>
        <w:t xml:space="preserve">Responding to data subject access requests and other UK GDPR rights requests in accordance with TLSPH's Data Protection Policy</w:t>
      </w:r>
    </w:p>
    <w:p>
      <w:pPr>
        <w:spacing w:after="80" w:before="0"/>
      </w:pPr>
      <w:r>
        <w:t xml:space="preserve"/>
      </w:r>
    </w:p>
    <w:p>
      <w:pPr>
        <w:spacing w:after="100" w:before="60"/>
      </w:pPr>
      <w:r>
        <w:rPr>
          <w:rFonts w:ascii="Arial" w:cs="Arial" w:eastAsia="Arial" w:hAnsi="Arial"/>
          <w:sz w:val="22"/>
          <w:szCs w:val="22"/>
        </w:rPr>
        <w:t xml:space="preserve">All staff are responsible for:</w:t>
      </w:r>
    </w:p>
    <w:p>
      <w:pPr>
        <w:pStyle w:val="ListParagraph"/>
        <w:numPr>
          <w:ilvl w:val="0"/>
          <w:numId w:val="2"/>
        </w:numPr>
        <w:spacing w:after="40" w:before="40"/>
      </w:pPr>
      <w:r>
        <w:rPr>
          <w:rFonts w:ascii="Arial" w:cs="Arial" w:eastAsia="Arial" w:hAnsi="Arial"/>
          <w:sz w:val="22"/>
          <w:szCs w:val="22"/>
        </w:rPr>
        <w:t xml:space="preserve">Retaining and disposing of data in accordance with this policy</w:t>
      </w:r>
    </w:p>
    <w:p>
      <w:pPr>
        <w:pStyle w:val="ListParagraph"/>
        <w:numPr>
          <w:ilvl w:val="0"/>
          <w:numId w:val="2"/>
        </w:numPr>
        <w:spacing w:after="40" w:before="40"/>
      </w:pPr>
      <w:r>
        <w:rPr>
          <w:rFonts w:ascii="Arial" w:cs="Arial" w:eastAsia="Arial" w:hAnsi="Arial"/>
          <w:sz w:val="22"/>
          <w:szCs w:val="22"/>
        </w:rPr>
        <w:t xml:space="preserve">Not retaining personal data beyond the specified retention period</w:t>
      </w:r>
    </w:p>
    <w:p>
      <w:pPr>
        <w:pStyle w:val="ListParagraph"/>
        <w:numPr>
          <w:ilvl w:val="0"/>
          <w:numId w:val="2"/>
        </w:numPr>
        <w:spacing w:after="40" w:before="40"/>
      </w:pPr>
      <w:r>
        <w:rPr>
          <w:rFonts w:ascii="Arial" w:cs="Arial" w:eastAsia="Arial" w:hAnsi="Arial"/>
          <w:sz w:val="22"/>
          <w:szCs w:val="22"/>
        </w:rPr>
        <w:t xml:space="preserve">Reporting any suspected data breach or improper retention to the Senior Leadership Team immediately</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5. Retention Schedule</w:t>
      </w:r>
    </w:p>
    <w:p>
      <w:pPr>
        <w:spacing w:after="100" w:before="60"/>
      </w:pPr>
      <w:r>
        <w:rPr>
          <w:rFonts w:ascii="Arial" w:cs="Arial" w:eastAsia="Arial" w:hAnsi="Arial"/>
          <w:sz w:val="22"/>
          <w:szCs w:val="22"/>
        </w:rPr>
        <w:t xml:space="preserve">The following schedule sets out the retention periods applicable to each category of data held by TLSPH. Where an awarding body's requirements exceed the periods listed, the awarding body's requirements apply.</w:t>
      </w:r>
    </w:p>
    <w:p>
      <w:pPr>
        <w:spacing w:after="80" w:before="0"/>
      </w:pPr>
      <w:r>
        <w:t xml:space="preserve"/>
      </w:r>
    </w:p>
    <w:p>
      <w:pPr>
        <w:spacing w:after="80" w:before="220"/>
      </w:pPr>
      <w:r>
        <w:rPr>
          <w:rFonts w:ascii="Arial" w:cs="Arial" w:eastAsia="Arial" w:hAnsi="Arial"/>
          <w:b/>
          <w:bCs/>
          <w:color w:val="2E75B6"/>
          <w:sz w:val="24"/>
          <w:szCs w:val="24"/>
        </w:rPr>
        <w:t xml:space="preserve">5.1 Student Records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400"/>
        <w:gridCol w:w="3126"/>
        <w:gridCol w:w="2000"/>
      </w:tblGrid>
      <w:tr>
        <w:trPr>
          <w:tblHeader/>
        </w:trPr>
        <w:tc>
          <w:tcPr>
            <w:tcW w:type="dxa" w:w="25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Record Category</w:t>
            </w:r>
          </w:p>
        </w:tc>
        <w:tc>
          <w:tcPr>
            <w:tcW w:type="dxa" w:w="14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Retention Period</w:t>
            </w:r>
          </w:p>
        </w:tc>
        <w:tc>
          <w:tcPr>
            <w:tcW w:type="dxa" w:w="3126"/>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UK Legal / Regulatory Basis</w:t>
            </w:r>
          </w:p>
        </w:tc>
        <w:tc>
          <w:tcPr>
            <w:tcW w:type="dxa" w:w="20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Disposal Method</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Student enrolment records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6 years after course end</w:t>
            </w:r>
          </w:p>
        </w:tc>
        <w:tc>
          <w:tcPr>
            <w:tcW w:type="dxa" w:w="31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UK GDPR Art. 5 | Limitation Act 1980 s.5</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Secure deletion / shredding</w:t>
            </w:r>
          </w:p>
        </w:tc>
      </w:tr>
      <w:tr>
        <w:tc>
          <w:tcPr>
            <w:tcW w:type="dxa" w:w="25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Assessment submissions and marked work</w:t>
            </w:r>
          </w:p>
        </w:tc>
        <w:tc>
          <w:tcPr>
            <w:tcW w:type="dxa" w:w="14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3 years after award</w:t>
            </w:r>
          </w:p>
        </w:tc>
        <w:tc>
          <w:tcPr>
            <w:tcW w:type="dxa" w:w="3126"/>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Ofqual General Conditions | UK GDPR</w:t>
            </w:r>
          </w:p>
        </w:tc>
        <w:tc>
          <w:tcPr>
            <w:tcW w:type="dxa" w:w="20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Secure deletion</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Assessment results and transcripts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Indefinitely (or 25 years)</w:t>
            </w:r>
          </w:p>
        </w:tc>
        <w:tc>
          <w:tcPr>
            <w:tcW w:type="dxa" w:w="31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Ofqual / awarding body requirements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Archive — no disposal</w:t>
            </w:r>
          </w:p>
        </w:tc>
      </w:tr>
      <w:tr>
        <w:tc>
          <w:tcPr>
            <w:tcW w:type="dxa" w:w="25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Certificates of completion</w:t>
            </w:r>
          </w:p>
        </w:tc>
        <w:tc>
          <w:tcPr>
            <w:tcW w:type="dxa" w:w="14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Indefinitely</w:t>
            </w:r>
          </w:p>
        </w:tc>
        <w:tc>
          <w:tcPr>
            <w:tcW w:type="dxa" w:w="3126"/>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Ofqual / awarding body requirements</w:t>
            </w:r>
          </w:p>
        </w:tc>
        <w:tc>
          <w:tcPr>
            <w:tcW w:type="dxa" w:w="20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Archive — no disposal</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Student complaints and appeals records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6 years after resolution</w:t>
            </w:r>
          </w:p>
        </w:tc>
        <w:tc>
          <w:tcPr>
            <w:tcW w:type="dxa" w:w="31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Limitation Act 1980 | UK GDPR</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Secure deletion / shredding</w:t>
            </w:r>
          </w:p>
        </w:tc>
      </w:tr>
      <w:tr>
        <w:tc>
          <w:tcPr>
            <w:tcW w:type="dxa" w:w="25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Student support and wellbeing records</w:t>
            </w:r>
          </w:p>
        </w:tc>
        <w:tc>
          <w:tcPr>
            <w:tcW w:type="dxa" w:w="14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6 years after course end</w:t>
            </w:r>
          </w:p>
        </w:tc>
        <w:tc>
          <w:tcPr>
            <w:tcW w:type="dxa" w:w="3126"/>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UK GDPR | Care Act 2014</w:t>
            </w:r>
          </w:p>
        </w:tc>
        <w:tc>
          <w:tcPr>
            <w:tcW w:type="dxa" w:w="20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Secure deletion / shredding</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Safeguarding records (adult)</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6 years after last action</w:t>
            </w:r>
          </w:p>
        </w:tc>
        <w:tc>
          <w:tcPr>
            <w:tcW w:type="dxa" w:w="31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UK GDPR | Care Act 2014</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Secure deletion / shredding</w:t>
            </w:r>
          </w:p>
        </w:tc>
      </w:tr>
      <w:tr>
        <w:tc>
          <w:tcPr>
            <w:tcW w:type="dxa" w:w="25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Safeguarding records (child)</w:t>
            </w:r>
          </w:p>
        </w:tc>
        <w:tc>
          <w:tcPr>
            <w:tcW w:type="dxa" w:w="14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Until the child reaches 25, or 6 years after last action (whichever is longer)</w:t>
            </w:r>
          </w:p>
        </w:tc>
        <w:tc>
          <w:tcPr>
            <w:tcW w:type="dxa" w:w="3126"/>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Children Act 1989 | KCSIE 2023</w:t>
            </w:r>
          </w:p>
        </w:tc>
        <w:tc>
          <w:tcPr>
            <w:tcW w:type="dxa" w:w="20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Secure deletion / shredding</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Academic misconduct records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6 years after resolution</w:t>
            </w:r>
          </w:p>
        </w:tc>
        <w:tc>
          <w:tcPr>
            <w:tcW w:type="dxa" w:w="31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Ofqual Condition A8 | Limitation Act 1980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Secure deletion</w:t>
            </w:r>
          </w:p>
        </w:tc>
      </w:tr>
      <w:tr>
        <w:tc>
          <w:tcPr>
            <w:tcW w:type="dxa" w:w="25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Marketing consent / enquiry records</w:t>
            </w:r>
          </w:p>
        </w:tc>
        <w:tc>
          <w:tcPr>
            <w:tcW w:type="dxa" w:w="14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Until consent withdrawn + 2 years</w:t>
            </w:r>
          </w:p>
        </w:tc>
        <w:tc>
          <w:tcPr>
            <w:tcW w:type="dxa" w:w="3126"/>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UK GDPR Art. 7 | PECR</w:t>
            </w:r>
          </w:p>
        </w:tc>
        <w:tc>
          <w:tcPr>
            <w:tcW w:type="dxa" w:w="20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Secure deletion</w:t>
            </w:r>
          </w:p>
        </w:tc>
      </w:tr>
    </w:tbl>
    <w:p>
      <w:pPr>
        <w:spacing w:after="80" w:before="0"/>
      </w:pPr>
      <w:r>
        <w:t xml:space="preserve"/>
      </w:r>
    </w:p>
    <w:p>
      <w:pPr>
        <w:spacing w:after="80" w:before="0"/>
      </w:pPr>
      <w:r>
        <w:t xml:space="preserve"/>
      </w:r>
    </w:p>
    <w:p>
      <w:pPr>
        <w:spacing w:after="80" w:before="220"/>
      </w:pPr>
      <w:r>
        <w:rPr>
          <w:rFonts w:ascii="Arial" w:cs="Arial" w:eastAsia="Arial" w:hAnsi="Arial"/>
          <w:b/>
          <w:bCs/>
          <w:color w:val="2E75B6"/>
          <w:sz w:val="24"/>
          <w:szCs w:val="24"/>
        </w:rPr>
        <w:t xml:space="preserve">5.2 Financial and Accounting Records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400"/>
        <w:gridCol w:w="3126"/>
        <w:gridCol w:w="2000"/>
      </w:tblGrid>
      <w:tr>
        <w:trPr>
          <w:tblHeader/>
        </w:trPr>
        <w:tc>
          <w:tcPr>
            <w:tcW w:type="dxa" w:w="25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Record Category</w:t>
            </w:r>
          </w:p>
        </w:tc>
        <w:tc>
          <w:tcPr>
            <w:tcW w:type="dxa" w:w="14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Retention Period</w:t>
            </w:r>
          </w:p>
        </w:tc>
        <w:tc>
          <w:tcPr>
            <w:tcW w:type="dxa" w:w="3126"/>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UK Legal / Regulatory Basis</w:t>
            </w:r>
          </w:p>
        </w:tc>
        <w:tc>
          <w:tcPr>
            <w:tcW w:type="dxa" w:w="20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Disposal Method</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Invoices and purchase orders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6 years from financial year end</w:t>
            </w:r>
          </w:p>
        </w:tc>
        <w:tc>
          <w:tcPr>
            <w:tcW w:type="dxa" w:w="31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HMRC / Finance Act 2021 | Companies Act 2006 s.386</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Secure deletion / shredding</w:t>
            </w:r>
          </w:p>
        </w:tc>
      </w:tr>
      <w:tr>
        <w:tc>
          <w:tcPr>
            <w:tcW w:type="dxa" w:w="25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Payment and fee records</w:t>
            </w:r>
          </w:p>
        </w:tc>
        <w:tc>
          <w:tcPr>
            <w:tcW w:type="dxa" w:w="14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6 years from financial year end</w:t>
            </w:r>
          </w:p>
        </w:tc>
        <w:tc>
          <w:tcPr>
            <w:tcW w:type="dxa" w:w="3126"/>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HMRC requirements | VAT Act 1994</w:t>
            </w:r>
          </w:p>
        </w:tc>
        <w:tc>
          <w:tcPr>
            <w:tcW w:type="dxa" w:w="20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Secure deletion / shredding</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Payroll records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6 years from financial year end</w:t>
            </w:r>
          </w:p>
        </w:tc>
        <w:tc>
          <w:tcPr>
            <w:tcW w:type="dxa" w:w="31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HMRC PAYE requirements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Secure deletion / shredding</w:t>
            </w:r>
          </w:p>
        </w:tc>
      </w:tr>
      <w:tr>
        <w:tc>
          <w:tcPr>
            <w:tcW w:type="dxa" w:w="25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VAT records</w:t>
            </w:r>
          </w:p>
        </w:tc>
        <w:tc>
          <w:tcPr>
            <w:tcW w:type="dxa" w:w="14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6 years</w:t>
            </w:r>
          </w:p>
        </w:tc>
        <w:tc>
          <w:tcPr>
            <w:tcW w:type="dxa" w:w="3126"/>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VAT Act 1994 | HMRC guidance</w:t>
            </w:r>
          </w:p>
        </w:tc>
        <w:tc>
          <w:tcPr>
            <w:tcW w:type="dxa" w:w="20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Secure deletion / shredding</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Bank statements and accounts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6 years</w:t>
            </w:r>
          </w:p>
        </w:tc>
        <w:tc>
          <w:tcPr>
            <w:tcW w:type="dxa" w:w="31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Companies Act 2006 | HMRC</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Secure deletion / shredding</w:t>
            </w:r>
          </w:p>
        </w:tc>
      </w:tr>
      <w:tr>
        <w:tc>
          <w:tcPr>
            <w:tcW w:type="dxa" w:w="25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Insurance records</w:t>
            </w:r>
          </w:p>
        </w:tc>
        <w:tc>
          <w:tcPr>
            <w:tcW w:type="dxa" w:w="14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6 years after policy expiry</w:t>
            </w:r>
          </w:p>
        </w:tc>
        <w:tc>
          <w:tcPr>
            <w:tcW w:type="dxa" w:w="3126"/>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Limitation Act 1980</w:t>
            </w:r>
          </w:p>
        </w:tc>
        <w:tc>
          <w:tcPr>
            <w:tcW w:type="dxa" w:w="20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Secure deletion / shredding</w:t>
            </w:r>
          </w:p>
        </w:tc>
      </w:tr>
    </w:tbl>
    <w:p>
      <w:pPr>
        <w:spacing w:after="80" w:before="0"/>
      </w:pPr>
      <w:r>
        <w:t xml:space="preserve"/>
      </w:r>
    </w:p>
    <w:p>
      <w:pPr>
        <w:spacing w:after="80" w:before="0"/>
      </w:pPr>
      <w:r>
        <w:t xml:space="preserve"/>
      </w:r>
    </w:p>
    <w:p>
      <w:pPr>
        <w:spacing w:after="80" w:before="220"/>
      </w:pPr>
      <w:r>
        <w:rPr>
          <w:rFonts w:ascii="Arial" w:cs="Arial" w:eastAsia="Arial" w:hAnsi="Arial"/>
          <w:b/>
          <w:bCs/>
          <w:color w:val="2E75B6"/>
          <w:sz w:val="24"/>
          <w:szCs w:val="24"/>
        </w:rPr>
        <w:t xml:space="preserve">5.3 Staff and HR Records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400"/>
        <w:gridCol w:w="3126"/>
        <w:gridCol w:w="2000"/>
      </w:tblGrid>
      <w:tr>
        <w:trPr>
          <w:tblHeader/>
        </w:trPr>
        <w:tc>
          <w:tcPr>
            <w:tcW w:type="dxa" w:w="25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Record Category</w:t>
            </w:r>
          </w:p>
        </w:tc>
        <w:tc>
          <w:tcPr>
            <w:tcW w:type="dxa" w:w="14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Retention Period</w:t>
            </w:r>
          </w:p>
        </w:tc>
        <w:tc>
          <w:tcPr>
            <w:tcW w:type="dxa" w:w="3126"/>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UK Legal / Regulatory Basis</w:t>
            </w:r>
          </w:p>
        </w:tc>
        <w:tc>
          <w:tcPr>
            <w:tcW w:type="dxa" w:w="20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Disposal Method</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Recruitment applications (unsuccessful)</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6 months after decision</w:t>
            </w:r>
          </w:p>
        </w:tc>
        <w:tc>
          <w:tcPr>
            <w:tcW w:type="dxa" w:w="31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UK GDPR | Equality Act 2010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Secure deletion</w:t>
            </w:r>
          </w:p>
        </w:tc>
      </w:tr>
      <w:tr>
        <w:tc>
          <w:tcPr>
            <w:tcW w:type="dxa" w:w="25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Recruitment applications (successful)</w:t>
            </w:r>
          </w:p>
        </w:tc>
        <w:tc>
          <w:tcPr>
            <w:tcW w:type="dxa" w:w="14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Duration of employment + 6 years</w:t>
            </w:r>
          </w:p>
        </w:tc>
        <w:tc>
          <w:tcPr>
            <w:tcW w:type="dxa" w:w="3126"/>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Limitation Act 1980 | Employment Rights Act 1996</w:t>
            </w:r>
          </w:p>
        </w:tc>
        <w:tc>
          <w:tcPr>
            <w:tcW w:type="dxa" w:w="20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Secure deletion / shredding</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Employment contracts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Duration of employment + 6 years</w:t>
            </w:r>
          </w:p>
        </w:tc>
        <w:tc>
          <w:tcPr>
            <w:tcW w:type="dxa" w:w="31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Employment Rights Act 1996 | Limitation Act 1980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Secure deletion / shredding</w:t>
            </w:r>
          </w:p>
        </w:tc>
      </w:tr>
      <w:tr>
        <w:tc>
          <w:tcPr>
            <w:tcW w:type="dxa" w:w="25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DBS check records</w:t>
            </w:r>
          </w:p>
        </w:tc>
        <w:tc>
          <w:tcPr>
            <w:tcW w:type="dxa" w:w="14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6 months after check date</w:t>
            </w:r>
          </w:p>
        </w:tc>
        <w:tc>
          <w:tcPr>
            <w:tcW w:type="dxa" w:w="3126"/>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DBS Code of Practice | UK GDPR</w:t>
            </w:r>
          </w:p>
        </w:tc>
        <w:tc>
          <w:tcPr>
            <w:tcW w:type="dxa" w:w="20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Secure deletion (record date and outcome only)</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Performance and disciplinary records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6 years after employment ends</w:t>
            </w:r>
          </w:p>
        </w:tc>
        <w:tc>
          <w:tcPr>
            <w:tcW w:type="dxa" w:w="31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Limitation Act 1980 | ACAS guidance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Secure deletion / shredding</w:t>
            </w:r>
          </w:p>
        </w:tc>
      </w:tr>
      <w:tr>
        <w:tc>
          <w:tcPr>
            <w:tcW w:type="dxa" w:w="25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Training records (safeguarding, EDI)</w:t>
            </w:r>
          </w:p>
        </w:tc>
        <w:tc>
          <w:tcPr>
            <w:tcW w:type="dxa" w:w="14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Duration of employment + 3 years</w:t>
            </w:r>
          </w:p>
        </w:tc>
        <w:tc>
          <w:tcPr>
            <w:tcW w:type="dxa" w:w="3126"/>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Ofqual / regulatory requirements</w:t>
            </w:r>
          </w:p>
        </w:tc>
        <w:tc>
          <w:tcPr>
            <w:tcW w:type="dxa" w:w="20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Secure deletion</w:t>
            </w:r>
          </w:p>
        </w:tc>
      </w:tr>
    </w:tbl>
    <w:p>
      <w:pPr>
        <w:spacing w:after="80" w:before="0"/>
      </w:pPr>
      <w:r>
        <w:t xml:space="preserve"/>
      </w:r>
    </w:p>
    <w:p>
      <w:pPr>
        <w:spacing w:after="80" w:before="0"/>
      </w:pPr>
      <w:r>
        <w:t xml:space="preserve"/>
      </w:r>
    </w:p>
    <w:p>
      <w:pPr>
        <w:spacing w:after="80" w:before="220"/>
      </w:pPr>
      <w:r>
        <w:rPr>
          <w:rFonts w:ascii="Arial" w:cs="Arial" w:eastAsia="Arial" w:hAnsi="Arial"/>
          <w:b/>
          <w:bCs/>
          <w:color w:val="2E75B6"/>
          <w:sz w:val="24"/>
          <w:szCs w:val="24"/>
        </w:rPr>
        <w:t xml:space="preserve">5.4 Governance and Legal Records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400"/>
        <w:gridCol w:w="3126"/>
        <w:gridCol w:w="2000"/>
      </w:tblGrid>
      <w:tr>
        <w:trPr>
          <w:tblHeader/>
        </w:trPr>
        <w:tc>
          <w:tcPr>
            <w:tcW w:type="dxa" w:w="25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Record Category</w:t>
            </w:r>
          </w:p>
        </w:tc>
        <w:tc>
          <w:tcPr>
            <w:tcW w:type="dxa" w:w="14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Retention Period</w:t>
            </w:r>
          </w:p>
        </w:tc>
        <w:tc>
          <w:tcPr>
            <w:tcW w:type="dxa" w:w="3126"/>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UK Legal / Regulatory Basis</w:t>
            </w:r>
          </w:p>
        </w:tc>
        <w:tc>
          <w:tcPr>
            <w:tcW w:type="dxa" w:w="20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Disposal Method</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Board / director minutes and resolutions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Indefinitely</w:t>
            </w:r>
          </w:p>
        </w:tc>
        <w:tc>
          <w:tcPr>
            <w:tcW w:type="dxa" w:w="31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Companies Act 2006 s.248</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Archive — no disposal</w:t>
            </w:r>
          </w:p>
        </w:tc>
      </w:tr>
      <w:tr>
        <w:tc>
          <w:tcPr>
            <w:tcW w:type="dxa" w:w="25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Contracts and agreements</w:t>
            </w:r>
          </w:p>
        </w:tc>
        <w:tc>
          <w:tcPr>
            <w:tcW w:type="dxa" w:w="14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6 years after expiry</w:t>
            </w:r>
          </w:p>
        </w:tc>
        <w:tc>
          <w:tcPr>
            <w:tcW w:type="dxa" w:w="3126"/>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Limitation Act 1980 s.5</w:t>
            </w:r>
          </w:p>
        </w:tc>
        <w:tc>
          <w:tcPr>
            <w:tcW w:type="dxa" w:w="20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Secure deletion / shredding</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Deeds and property documents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12 years after expiry</w:t>
            </w:r>
          </w:p>
        </w:tc>
        <w:tc>
          <w:tcPr>
            <w:tcW w:type="dxa" w:w="31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Limitation Act 1980 s.8</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Secure deletion / shredding</w:t>
            </w:r>
          </w:p>
        </w:tc>
      </w:tr>
      <w:tr>
        <w:tc>
          <w:tcPr>
            <w:tcW w:type="dxa" w:w="25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Data processing agreements (DPAs)</w:t>
            </w:r>
          </w:p>
        </w:tc>
        <w:tc>
          <w:tcPr>
            <w:tcW w:type="dxa" w:w="14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Duration of agreement + 6 years</w:t>
            </w:r>
          </w:p>
        </w:tc>
        <w:tc>
          <w:tcPr>
            <w:tcW w:type="dxa" w:w="3126"/>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UK GDPR Art. 28</w:t>
            </w:r>
          </w:p>
        </w:tc>
        <w:tc>
          <w:tcPr>
            <w:tcW w:type="dxa" w:w="20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Secure deletion</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ICO registration records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Current + 3 years</w:t>
            </w:r>
          </w:p>
        </w:tc>
        <w:tc>
          <w:tcPr>
            <w:tcW w:type="dxa" w:w="31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Data Protection Act 2018</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Secure deletion</w:t>
            </w:r>
          </w:p>
        </w:tc>
      </w:tr>
      <w:tr>
        <w:tc>
          <w:tcPr>
            <w:tcW w:type="dxa" w:w="25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Awarding body centre agreements</w:t>
            </w:r>
          </w:p>
        </w:tc>
        <w:tc>
          <w:tcPr>
            <w:tcW w:type="dxa" w:w="14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Duration + 6 years</w:t>
            </w:r>
          </w:p>
        </w:tc>
        <w:tc>
          <w:tcPr>
            <w:tcW w:type="dxa" w:w="3126"/>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Ofqual General Conditions</w:t>
            </w:r>
          </w:p>
        </w:tc>
        <w:tc>
          <w:tcPr>
            <w:tcW w:type="dxa" w:w="20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Secure deletion / shredding</w:t>
            </w:r>
          </w:p>
        </w:tc>
      </w:tr>
    </w:tbl>
    <w:p>
      <w:pPr>
        <w:spacing w:after="80" w:before="0"/>
      </w:pPr>
      <w:r>
        <w:t xml:space="preserve"/>
      </w:r>
    </w:p>
    <w:p>
      <w:pPr>
        <w:spacing w:after="80" w:before="0"/>
      </w:pPr>
      <w:r>
        <w:t xml:space="preserve"/>
      </w:r>
    </w:p>
    <w:p>
      <w:pPr>
        <w:spacing w:after="80" w:before="220"/>
      </w:pPr>
      <w:r>
        <w:rPr>
          <w:rFonts w:ascii="Arial" w:cs="Arial" w:eastAsia="Arial" w:hAnsi="Arial"/>
          <w:b/>
          <w:bCs/>
          <w:color w:val="2E75B6"/>
          <w:sz w:val="24"/>
          <w:szCs w:val="24"/>
        </w:rPr>
        <w:t xml:space="preserve">5.5 IT and Digital Records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400"/>
        <w:gridCol w:w="3126"/>
        <w:gridCol w:w="2000"/>
      </w:tblGrid>
      <w:tr>
        <w:trPr>
          <w:tblHeader/>
        </w:trPr>
        <w:tc>
          <w:tcPr>
            <w:tcW w:type="dxa" w:w="25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Record Category</w:t>
            </w:r>
          </w:p>
        </w:tc>
        <w:tc>
          <w:tcPr>
            <w:tcW w:type="dxa" w:w="14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Retention Period</w:t>
            </w:r>
          </w:p>
        </w:tc>
        <w:tc>
          <w:tcPr>
            <w:tcW w:type="dxa" w:w="3126"/>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UK Legal / Regulatory Basis</w:t>
            </w:r>
          </w:p>
        </w:tc>
        <w:tc>
          <w:tcPr>
            <w:tcW w:type="dxa" w:w="20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Disposal Method</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Website analytics data (Google Analytics)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26 months</w:t>
            </w:r>
          </w:p>
        </w:tc>
        <w:tc>
          <w:tcPr>
            <w:tcW w:type="dxa" w:w="31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UK GDPR | ICO cookie guidance | PECR</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Automatic deletion by platform</w:t>
            </w:r>
          </w:p>
        </w:tc>
      </w:tr>
      <w:tr>
        <w:tc>
          <w:tcPr>
            <w:tcW w:type="dxa" w:w="25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Email correspondence (general)</w:t>
            </w:r>
          </w:p>
        </w:tc>
        <w:tc>
          <w:tcPr>
            <w:tcW w:type="dxa" w:w="14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3 years</w:t>
            </w:r>
          </w:p>
        </w:tc>
        <w:tc>
          <w:tcPr>
            <w:tcW w:type="dxa" w:w="3126"/>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UK GDPR Art. 5</w:t>
            </w:r>
          </w:p>
        </w:tc>
        <w:tc>
          <w:tcPr>
            <w:tcW w:type="dxa" w:w="20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Secure deletion</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Email correspondence (legal / contractual)</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6 years</w:t>
            </w:r>
          </w:p>
        </w:tc>
        <w:tc>
          <w:tcPr>
            <w:tcW w:type="dxa" w:w="31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Limitation Act 1980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Secure deletion</w:t>
            </w:r>
          </w:p>
        </w:tc>
      </w:tr>
      <w:tr>
        <w:tc>
          <w:tcPr>
            <w:tcW w:type="dxa" w:w="25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IT access logs / security logs</w:t>
            </w:r>
          </w:p>
        </w:tc>
        <w:tc>
          <w:tcPr>
            <w:tcW w:type="dxa" w:w="14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12 months</w:t>
            </w:r>
          </w:p>
        </w:tc>
        <w:tc>
          <w:tcPr>
            <w:tcW w:type="dxa" w:w="3126"/>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UK GDPR | ICO guidance</w:t>
            </w:r>
          </w:p>
        </w:tc>
        <w:tc>
          <w:tcPr>
            <w:tcW w:type="dxa" w:w="20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Automatic deletion</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CCTV footage (if applicable)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31 days</w:t>
            </w:r>
          </w:p>
        </w:tc>
        <w:tc>
          <w:tcPr>
            <w:tcW w:type="dxa" w:w="31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ICO CCTV guidance | UK GDPR</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Automatic overwrite</w:t>
            </w:r>
          </w:p>
        </w:tc>
      </w:tr>
      <w:tr>
        <w:tc>
          <w:tcPr>
            <w:tcW w:type="dxa" w:w="25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Cookie consent records</w:t>
            </w:r>
          </w:p>
        </w:tc>
        <w:tc>
          <w:tcPr>
            <w:tcW w:type="dxa" w:w="14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1 year from consent</w:t>
            </w:r>
          </w:p>
        </w:tc>
        <w:tc>
          <w:tcPr>
            <w:tcW w:type="dxa" w:w="3126"/>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PECR | UK GDPR Art. 7</w:t>
            </w:r>
          </w:p>
        </w:tc>
        <w:tc>
          <w:tcPr>
            <w:tcW w:type="dxa" w:w="20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Secure deletion</w:t>
            </w:r>
          </w:p>
        </w:tc>
      </w:tr>
    </w:tbl>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6. Secure Disposal</w:t>
      </w:r>
    </w:p>
    <w:p>
      <w:pPr>
        <w:spacing w:after="100" w:before="60"/>
      </w:pPr>
      <w:r>
        <w:rPr>
          <w:rFonts w:ascii="Arial" w:cs="Arial" w:eastAsia="Arial" w:hAnsi="Arial"/>
          <w:sz w:val="22"/>
          <w:szCs w:val="22"/>
        </w:rPr>
        <w:t xml:space="preserve">When retention periods expire, data must be disposed of securely to prevent unauthorised access or recovery. TLSPH applies the following disposal standards:</w:t>
      </w:r>
    </w:p>
    <w:p>
      <w:pPr>
        <w:pStyle w:val="ListParagraph"/>
        <w:numPr>
          <w:ilvl w:val="0"/>
          <w:numId w:val="2"/>
        </w:numPr>
        <w:spacing w:after="40" w:before="40"/>
      </w:pPr>
      <w:r>
        <w:rPr>
          <w:rFonts w:ascii="Arial" w:cs="Arial" w:eastAsia="Arial" w:hAnsi="Arial"/>
          <w:sz w:val="22"/>
          <w:szCs w:val="22"/>
        </w:rPr>
        <w:t xml:space="preserve">Digital data — permanently deleted using appropriate software tools; where data is held by a third-party processor (e.g. cloud provider), deletion is confirmed in accordance with the data processing agreement</w:t>
      </w:r>
    </w:p>
    <w:p>
      <w:pPr>
        <w:pStyle w:val="ListParagraph"/>
        <w:numPr>
          <w:ilvl w:val="0"/>
          <w:numId w:val="2"/>
        </w:numPr>
        <w:spacing w:after="40" w:before="40"/>
      </w:pPr>
      <w:r>
        <w:rPr>
          <w:rFonts w:ascii="Arial" w:cs="Arial" w:eastAsia="Arial" w:hAnsi="Arial"/>
          <w:sz w:val="22"/>
          <w:szCs w:val="22"/>
        </w:rPr>
        <w:t xml:space="preserve">Paper records — shredded using a cross-cut shredder, or disposed of via a certified confidential waste contractor</w:t>
      </w:r>
    </w:p>
    <w:p>
      <w:pPr>
        <w:pStyle w:val="ListParagraph"/>
        <w:numPr>
          <w:ilvl w:val="0"/>
          <w:numId w:val="2"/>
        </w:numPr>
        <w:spacing w:after="40" w:before="40"/>
      </w:pPr>
      <w:r>
        <w:rPr>
          <w:rFonts w:ascii="Arial" w:cs="Arial" w:eastAsia="Arial" w:hAnsi="Arial"/>
          <w:sz w:val="22"/>
          <w:szCs w:val="22"/>
        </w:rPr>
        <w:t xml:space="preserve">Physical media (USB drives, hard drives) — destroyed by a certified data destruction service</w:t>
      </w:r>
    </w:p>
    <w:p>
      <w:pPr>
        <w:spacing w:after="80" w:before="0"/>
      </w:pPr>
      <w:r>
        <w:t xml:space="preserve"/>
      </w:r>
    </w:p>
    <w:p>
      <w:pPr>
        <w:spacing w:after="100" w:before="60"/>
      </w:pPr>
      <w:r>
        <w:rPr>
          <w:rFonts w:ascii="Arial" w:cs="Arial" w:eastAsia="Arial" w:hAnsi="Arial"/>
          <w:sz w:val="22"/>
          <w:szCs w:val="22"/>
        </w:rPr>
        <w:t xml:space="preserve">Disposal must be recorded in the TLSPH Data Disposal Log, maintained by the Senior Leadership Team. The log records the date of disposal, the category of data disposed, and the method used.</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7. Data Subject Rights</w:t>
      </w:r>
    </w:p>
    <w:p>
      <w:pPr>
        <w:spacing w:after="100" w:before="60"/>
      </w:pPr>
      <w:r>
        <w:rPr>
          <w:rFonts w:ascii="Arial" w:cs="Arial" w:eastAsia="Arial" w:hAnsi="Arial"/>
          <w:sz w:val="22"/>
          <w:szCs w:val="22"/>
        </w:rPr>
        <w:t xml:space="preserve">Under the UK GDPR, data subjects have the right to request erasure of their personal data (the 'right to be forgotten') under Article 17. However, TLSPH may refuse or limit erasure requests where retention is required:</w:t>
      </w:r>
    </w:p>
    <w:p>
      <w:pPr>
        <w:pStyle w:val="ListParagraph"/>
        <w:numPr>
          <w:ilvl w:val="0"/>
          <w:numId w:val="2"/>
        </w:numPr>
        <w:spacing w:after="40" w:before="40"/>
      </w:pPr>
      <w:r>
        <w:rPr>
          <w:rFonts w:ascii="Arial" w:cs="Arial" w:eastAsia="Arial" w:hAnsi="Arial"/>
          <w:sz w:val="22"/>
          <w:szCs w:val="22"/>
        </w:rPr>
        <w:t xml:space="preserve">To comply with a legal obligation under UK law (e.g. HMRC record-keeping, Ofqual requirements)</w:t>
      </w:r>
    </w:p>
    <w:p>
      <w:pPr>
        <w:pStyle w:val="ListParagraph"/>
        <w:numPr>
          <w:ilvl w:val="0"/>
          <w:numId w:val="2"/>
        </w:numPr>
        <w:spacing w:after="40" w:before="40"/>
      </w:pPr>
      <w:r>
        <w:rPr>
          <w:rFonts w:ascii="Arial" w:cs="Arial" w:eastAsia="Arial" w:hAnsi="Arial"/>
          <w:sz w:val="22"/>
          <w:szCs w:val="22"/>
        </w:rPr>
        <w:t xml:space="preserve">For the establishment, exercise, or defence of legal claims (Article 17(3)(e))</w:t>
      </w:r>
    </w:p>
    <w:p>
      <w:pPr>
        <w:pStyle w:val="ListParagraph"/>
        <w:numPr>
          <w:ilvl w:val="0"/>
          <w:numId w:val="2"/>
        </w:numPr>
        <w:spacing w:after="40" w:before="40"/>
      </w:pPr>
      <w:r>
        <w:rPr>
          <w:rFonts w:ascii="Arial" w:cs="Arial" w:eastAsia="Arial" w:hAnsi="Arial"/>
          <w:sz w:val="22"/>
          <w:szCs w:val="22"/>
        </w:rPr>
        <w:t xml:space="preserve">For reasons of public interest (Article 17(3)(b))</w:t>
      </w:r>
    </w:p>
    <w:p>
      <w:pPr>
        <w:spacing w:after="80" w:before="0"/>
      </w:pPr>
      <w:r>
        <w:t xml:space="preserve"/>
      </w:r>
    </w:p>
    <w:p>
      <w:pPr>
        <w:spacing w:after="100" w:before="60"/>
      </w:pPr>
      <w:r>
        <w:rPr>
          <w:rFonts w:ascii="Arial" w:cs="Arial" w:eastAsia="Arial" w:hAnsi="Arial"/>
          <w:sz w:val="22"/>
          <w:szCs w:val="22"/>
        </w:rPr>
        <w:t xml:space="preserve">All data subject rights requests, including erasure requests, will be handled in accordance with TLSPH's Data Protection Policy and responded to within one calendar month as required by UK GDPR Article 12.</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8. Data Breaches</w:t>
      </w:r>
    </w:p>
    <w:p>
      <w:pPr>
        <w:spacing w:after="100" w:before="60"/>
      </w:pPr>
      <w:r>
        <w:rPr>
          <w:rFonts w:ascii="Arial" w:cs="Arial" w:eastAsia="Arial" w:hAnsi="Arial"/>
          <w:sz w:val="22"/>
          <w:szCs w:val="22"/>
        </w:rPr>
        <w:t xml:space="preserve">If personal data is retained beyond its scheduled period and is subsequently involved in a data breach, this may constitute a breach of the UK GDPR storage limitation principle and must be reported to the Senior Leadership Team immediately. Notifiable breaches will be reported to the Information Commissioner's Office (ICO) within 72 hours in accordance with UK GDPR Article 33.</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9. Annual Data Audit</w:t>
      </w:r>
    </w:p>
    <w:p>
      <w:pPr>
        <w:spacing w:after="100" w:before="60"/>
      </w:pPr>
      <w:r>
        <w:rPr>
          <w:rFonts w:ascii="Arial" w:cs="Arial" w:eastAsia="Arial" w:hAnsi="Arial"/>
          <w:sz w:val="22"/>
          <w:szCs w:val="22"/>
        </w:rPr>
        <w:t xml:space="preserve">The Senior Leadership Team will conduct an annual data audit to:</w:t>
      </w:r>
    </w:p>
    <w:p>
      <w:pPr>
        <w:pStyle w:val="ListParagraph"/>
        <w:numPr>
          <w:ilvl w:val="0"/>
          <w:numId w:val="2"/>
        </w:numPr>
        <w:spacing w:after="40" w:before="40"/>
      </w:pPr>
      <w:r>
        <w:rPr>
          <w:rFonts w:ascii="Arial" w:cs="Arial" w:eastAsia="Arial" w:hAnsi="Arial"/>
          <w:sz w:val="22"/>
          <w:szCs w:val="22"/>
        </w:rPr>
        <w:t xml:space="preserve">Identify all categories of data held by TLSPH</w:t>
      </w:r>
    </w:p>
    <w:p>
      <w:pPr>
        <w:pStyle w:val="ListParagraph"/>
        <w:numPr>
          <w:ilvl w:val="0"/>
          <w:numId w:val="2"/>
        </w:numPr>
        <w:spacing w:after="40" w:before="40"/>
      </w:pPr>
      <w:r>
        <w:rPr>
          <w:rFonts w:ascii="Arial" w:cs="Arial" w:eastAsia="Arial" w:hAnsi="Arial"/>
          <w:sz w:val="22"/>
          <w:szCs w:val="22"/>
        </w:rPr>
        <w:t xml:space="preserve">Verify that retention periods are being observed</w:t>
      </w:r>
    </w:p>
    <w:p>
      <w:pPr>
        <w:pStyle w:val="ListParagraph"/>
        <w:numPr>
          <w:ilvl w:val="0"/>
          <w:numId w:val="2"/>
        </w:numPr>
        <w:spacing w:after="40" w:before="40"/>
      </w:pPr>
      <w:r>
        <w:rPr>
          <w:rFonts w:ascii="Arial" w:cs="Arial" w:eastAsia="Arial" w:hAnsi="Arial"/>
          <w:sz w:val="22"/>
          <w:szCs w:val="22"/>
        </w:rPr>
        <w:t xml:space="preserve">Confirm that data due for disposal has been securely destroyed</w:t>
      </w:r>
    </w:p>
    <w:p>
      <w:pPr>
        <w:pStyle w:val="ListParagraph"/>
        <w:numPr>
          <w:ilvl w:val="0"/>
          <w:numId w:val="2"/>
        </w:numPr>
        <w:spacing w:after="40" w:before="40"/>
      </w:pPr>
      <w:r>
        <w:rPr>
          <w:rFonts w:ascii="Arial" w:cs="Arial" w:eastAsia="Arial" w:hAnsi="Arial"/>
          <w:sz w:val="22"/>
          <w:szCs w:val="22"/>
        </w:rPr>
        <w:t xml:space="preserve">Update this retention schedule in light of any changes to UK legislation, Ofqual requirements, or awarding body policies</w:t>
      </w:r>
    </w:p>
    <w:p>
      <w:pPr>
        <w:pStyle w:val="ListParagraph"/>
        <w:numPr>
          <w:ilvl w:val="0"/>
          <w:numId w:val="2"/>
        </w:numPr>
        <w:spacing w:after="40" w:before="40"/>
      </w:pPr>
      <w:r>
        <w:rPr>
          <w:rFonts w:ascii="Arial" w:cs="Arial" w:eastAsia="Arial" w:hAnsi="Arial"/>
          <w:sz w:val="22"/>
          <w:szCs w:val="22"/>
        </w:rPr>
        <w:t xml:space="preserve">Review any new data processing activities introduced during the year</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10. Related Policies</w:t>
      </w:r>
    </w:p>
    <w:p>
      <w:pPr>
        <w:pStyle w:val="ListParagraph"/>
        <w:numPr>
          <w:ilvl w:val="0"/>
          <w:numId w:val="2"/>
        </w:numPr>
        <w:spacing w:after="40" w:before="40"/>
      </w:pPr>
      <w:r>
        <w:rPr>
          <w:rFonts w:ascii="Arial" w:cs="Arial" w:eastAsia="Arial" w:hAnsi="Arial"/>
          <w:sz w:val="22"/>
          <w:szCs w:val="22"/>
        </w:rPr>
        <w:t xml:space="preserve">Data Protection Policy (UK GDPR) — TLSPH-POL (forthcoming)</w:t>
      </w:r>
    </w:p>
    <w:p>
      <w:pPr>
        <w:pStyle w:val="ListParagraph"/>
        <w:numPr>
          <w:ilvl w:val="0"/>
          <w:numId w:val="2"/>
        </w:numPr>
        <w:spacing w:after="40" w:before="40"/>
      </w:pPr>
      <w:r>
        <w:rPr>
          <w:rFonts w:ascii="Arial" w:cs="Arial" w:eastAsia="Arial" w:hAnsi="Arial"/>
          <w:sz w:val="22"/>
          <w:szCs w:val="22"/>
        </w:rPr>
        <w:t xml:space="preserve">Cookie Policy — TLSPH-POL-001</w:t>
      </w:r>
    </w:p>
    <w:p>
      <w:pPr>
        <w:pStyle w:val="ListParagraph"/>
        <w:numPr>
          <w:ilvl w:val="0"/>
          <w:numId w:val="2"/>
        </w:numPr>
        <w:spacing w:after="40" w:before="40"/>
      </w:pPr>
      <w:r>
        <w:rPr>
          <w:rFonts w:ascii="Arial" w:cs="Arial" w:eastAsia="Arial" w:hAnsi="Arial"/>
          <w:sz w:val="22"/>
          <w:szCs w:val="22"/>
        </w:rPr>
        <w:t xml:space="preserve">Safeguarding Policy — TLSPH-POL-003</w:t>
      </w:r>
    </w:p>
    <w:p>
      <w:pPr>
        <w:pStyle w:val="ListParagraph"/>
        <w:numPr>
          <w:ilvl w:val="0"/>
          <w:numId w:val="2"/>
        </w:numPr>
        <w:spacing w:after="40" w:before="40"/>
      </w:pPr>
      <w:r>
        <w:rPr>
          <w:rFonts w:ascii="Arial" w:cs="Arial" w:eastAsia="Arial" w:hAnsi="Arial"/>
          <w:sz w:val="22"/>
          <w:szCs w:val="22"/>
        </w:rPr>
        <w:t xml:space="preserve">Academic Integrity &amp; Plagiarism Policy — TLSPH-POL-006</w:t>
      </w:r>
    </w:p>
    <w:p>
      <w:pPr>
        <w:pStyle w:val="ListParagraph"/>
        <w:numPr>
          <w:ilvl w:val="0"/>
          <w:numId w:val="2"/>
        </w:numPr>
        <w:spacing w:after="40" w:before="40"/>
      </w:pPr>
      <w:r>
        <w:rPr>
          <w:rFonts w:ascii="Arial" w:cs="Arial" w:eastAsia="Arial" w:hAnsi="Arial"/>
          <w:sz w:val="22"/>
          <w:szCs w:val="22"/>
        </w:rPr>
        <w:t xml:space="preserve">Recruitment &amp; Selection Policy</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11. Contact</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Data Retention Queries</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info@thelondonschoolofpublichealth.com</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ICO (Information Commissioner)</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www.ico.org.uk  |  0303 123 1113</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Website</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www.thelondonschoolofpublichealth.com</w:t>
            </w:r>
          </w:p>
        </w:tc>
      </w:tr>
    </w:tbl>
    <w:p>
      <w:pPr>
        <w:spacing w:after="80" w:before="0"/>
      </w:pPr>
      <w:r>
        <w:t xml:space="preserve"/>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D6E4F0" w:val="clear"/>
            <w:tcMar>
              <w:top w:type="dxa" w:w="120"/>
              <w:left w:type="dxa" w:w="200"/>
              <w:bottom w:type="dxa" w:w="120"/>
              <w:right w:type="dxa" w:w="200"/>
            </w:tcMar>
          </w:tcPr>
          <w:p>
            <w:pPr>
              <w:spacing w:after="40" w:before="40"/>
            </w:pPr>
            <w:r>
              <w:rPr>
                <w:rFonts w:ascii="Arial" w:cs="Arial" w:eastAsia="Arial" w:hAnsi="Arial"/>
                <w:b/>
                <w:bCs/>
                <w:color w:val="1B3A6B"/>
                <w:sz w:val="20"/>
                <w:szCs w:val="20"/>
              </w:rPr>
              <w:t xml:space="preserve">Policy Review</w:t>
            </w:r>
          </w:p>
          <w:p>
            <w:pPr>
              <w:spacing w:after="20" w:before="20"/>
            </w:pPr>
            <w:r>
              <w:rPr>
                <w:rFonts w:ascii="Arial" w:cs="Arial" w:eastAsia="Arial" w:hAnsi="Arial"/>
                <w:sz w:val="19"/>
                <w:szCs w:val="19"/>
              </w:rPr>
              <w:t xml:space="preserve">This policy is reviewed annually by the Senior Leadership Team to ensure compliance with the UK General Data Protection Regulation (UK GDPR), the Data Protection Act 2018, HMRC record-keeping requirements, the Limitation Act 1980, Ofqual General Conditions of Recognition, and any updated ICO guidance on data retention. The retention schedule will be updated promptly where awarding body or legislative requirements change.</w:t>
            </w:r>
          </w:p>
          <w:p>
            <w:pPr>
              <w:spacing w:after="40" w:before="20"/>
            </w:pPr>
            <w:r>
              <w:rPr>
                <w:rFonts w:ascii="Arial" w:cs="Arial" w:eastAsia="Arial" w:hAnsi="Arial"/>
                <w:i/>
                <w:iCs/>
                <w:color w:val="555555"/>
                <w:sz w:val="19"/>
                <w:szCs w:val="19"/>
              </w:rPr>
              <w:t xml:space="preserve">Last Reviewed: July 2025   |   Next Review Due: July 2026   |   Version: 1.0</w:t>
            </w:r>
          </w:p>
        </w:tc>
      </w:tr>
    </w:tbl>
    <w:sectPr>
      <w:headerReference w:type="default" r:id="rId7"/>
      <w:footerReference w:type="default" r:id="rId8"/>
      <w:pgSz w:w="11906" w:h="16838" w:orient="portrait"/>
      <w:pgMar w:top="10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spacing w:before="80"/>
    </w:pPr>
    <w:r>
      <w:rPr>
        <w:rFonts w:ascii="Arial" w:cs="Arial" w:eastAsia="Arial" w:hAnsi="Arial"/>
        <w:color w:val="888888"/>
        <w:sz w:val="16"/>
        <w:szCs w:val="16"/>
      </w:rPr>
      <w:t xml:space="preserve">Data Retention Policy  |  TLSPH LTD  |  www.thelondonschoolofpublichealth.com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6"/>
      </w:pBdr>
      <w:spacing w:after="0"/>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 cy="762000"/>
                  </a:xfrm>
                  <a:prstGeom prst="rect">
                    <a:avLst/>
                  </a:prstGeom>
                </pic:spPr>
              </pic:pic>
            </a:graphicData>
          </a:graphic>
        </wp:inline>
      </w:drawing>
    </w:r>
    <w:r>
      <w:rPr>
        <w:rFonts w:ascii="Arial" w:cs="Arial" w:eastAsia="Arial" w:hAnsi="Arial"/>
        <w:b/>
        <w:bCs/>
        <w:color w:val="1B3A6B"/>
        <w:sz w:val="26"/>
        <w:szCs w:val="26"/>
      </w:rPr>
      <w:t xml:space="preserve">   The London School of Public Health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ebd6c7edc75df80b4fa770f3527f7c6290e278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2026-05-11T15:28:25.757Z</dcterms:created>
  <dcterms:modified xsi:type="dcterms:W3CDTF">2026-05-11T15:28:25.775Z</dcterms:modified>
</cp:coreProperties>
</file>

<file path=docProps/custom.xml><?xml version="1.0" encoding="utf-8"?>
<Properties xmlns="http://schemas.openxmlformats.org/officeDocument/2006/custom-properties" xmlns:vt="http://schemas.openxmlformats.org/officeDocument/2006/docPropsVTypes"/>
</file>