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5976C" w14:textId="77777777" w:rsidR="00141612" w:rsidRDefault="00141612">
      <w:pPr>
        <w:spacing w:after="80"/>
      </w:pPr>
    </w:p>
    <w:p w14:paraId="61FEED4A" w14:textId="77777777" w:rsidR="00141612" w:rsidRDefault="00000000">
      <w:pPr>
        <w:spacing w:before="80" w:after="40"/>
      </w:pPr>
      <w:r>
        <w:rPr>
          <w:b/>
          <w:bCs/>
          <w:color w:val="1B3A6B"/>
          <w:sz w:val="44"/>
          <w:szCs w:val="44"/>
        </w:rPr>
        <w:t>Equality, Diversity &amp; Inclusion Policy</w:t>
      </w:r>
    </w:p>
    <w:p w14:paraId="0BE20EAC" w14:textId="77777777" w:rsidR="00141612" w:rsidRDefault="00000000">
      <w:pPr>
        <w:pBdr>
          <w:bottom w:val="single" w:sz="8" w:space="4" w:color="2E75B6"/>
        </w:pBdr>
        <w:spacing w:after="200"/>
      </w:pPr>
      <w:r>
        <w:rPr>
          <w:color w:val="555555"/>
        </w:rPr>
        <w:t>TLSPH LTD  |  The London School of Public Health</w:t>
      </w:r>
    </w:p>
    <w:p w14:paraId="7A598757" w14:textId="77777777" w:rsidR="00141612" w:rsidRDefault="00141612">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141612" w14:paraId="66E213F5"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7AA10E9" w14:textId="77777777" w:rsidR="00141612" w:rsidRDefault="00000000">
            <w:r>
              <w:rPr>
                <w:b/>
                <w:bCs/>
                <w:color w:val="1B3A6B"/>
                <w:sz w:val="20"/>
                <w:szCs w:val="20"/>
              </w:rPr>
              <w:t>Policy Reference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3257A1AC" w14:textId="77777777" w:rsidR="00141612" w:rsidRDefault="00000000">
            <w:r>
              <w:rPr>
                <w:sz w:val="20"/>
                <w:szCs w:val="20"/>
              </w:rPr>
              <w:t>TLSPH-POL-005</w:t>
            </w:r>
          </w:p>
        </w:tc>
      </w:tr>
    </w:tbl>
    <w:p w14:paraId="0A247AFE" w14:textId="77777777" w:rsidR="00141612" w:rsidRDefault="00141612">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141612" w14:paraId="78117B55"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48F25B6" w14:textId="77777777" w:rsidR="00141612" w:rsidRDefault="00000000">
            <w:r>
              <w:rPr>
                <w:b/>
                <w:bCs/>
                <w:color w:val="1B3A6B"/>
                <w:sz w:val="20"/>
                <w:szCs w:val="20"/>
              </w:rPr>
              <w:t>Version</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72A67CDF" w14:textId="77777777" w:rsidR="00141612" w:rsidRDefault="00000000">
            <w:r>
              <w:rPr>
                <w:sz w:val="20"/>
                <w:szCs w:val="20"/>
              </w:rPr>
              <w:t>1.0</w:t>
            </w:r>
          </w:p>
        </w:tc>
      </w:tr>
    </w:tbl>
    <w:p w14:paraId="51B563B0" w14:textId="77777777" w:rsidR="00141612" w:rsidRDefault="00141612">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141612" w14:paraId="395B1331"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6BE41DC" w14:textId="77777777" w:rsidR="00141612" w:rsidRDefault="00000000">
            <w:r>
              <w:rPr>
                <w:b/>
                <w:bCs/>
                <w:color w:val="1B3A6B"/>
                <w:sz w:val="20"/>
                <w:szCs w:val="20"/>
              </w:rPr>
              <w:t>Date Issued</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3BF1767B" w14:textId="77777777" w:rsidR="00141612" w:rsidRDefault="00000000">
            <w:r>
              <w:rPr>
                <w:sz w:val="20"/>
                <w:szCs w:val="20"/>
              </w:rPr>
              <w:t>October 2025</w:t>
            </w:r>
          </w:p>
        </w:tc>
      </w:tr>
    </w:tbl>
    <w:p w14:paraId="75FC15B7" w14:textId="77777777" w:rsidR="00141612" w:rsidRDefault="00141612">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141612" w14:paraId="15E87EC5"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2DA024B" w14:textId="77777777" w:rsidR="00141612" w:rsidRDefault="00000000">
            <w:r>
              <w:rPr>
                <w:b/>
                <w:bCs/>
                <w:color w:val="1B3A6B"/>
                <w:sz w:val="20"/>
                <w:szCs w:val="20"/>
              </w:rPr>
              <w:t>Next Review Date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6096D7FA" w14:textId="77777777" w:rsidR="00141612" w:rsidRDefault="00000000">
            <w:r>
              <w:rPr>
                <w:sz w:val="20"/>
                <w:szCs w:val="20"/>
              </w:rPr>
              <w:t>October 2026</w:t>
            </w:r>
          </w:p>
        </w:tc>
      </w:tr>
    </w:tbl>
    <w:p w14:paraId="13540317" w14:textId="77777777" w:rsidR="00141612" w:rsidRDefault="00141612">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141612" w14:paraId="423BB9C4"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90753B0" w14:textId="77777777" w:rsidR="00141612" w:rsidRDefault="00000000">
            <w:r>
              <w:rPr>
                <w:b/>
                <w:bCs/>
                <w:color w:val="1B3A6B"/>
                <w:sz w:val="20"/>
                <w:szCs w:val="20"/>
              </w:rPr>
              <w:t>Policy Owner</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4922419B" w14:textId="77777777" w:rsidR="00141612" w:rsidRDefault="00000000">
            <w:r>
              <w:rPr>
                <w:sz w:val="20"/>
                <w:szCs w:val="20"/>
              </w:rPr>
              <w:t>Senior Leadership Team</w:t>
            </w:r>
          </w:p>
        </w:tc>
      </w:tr>
    </w:tbl>
    <w:p w14:paraId="0852619C" w14:textId="77777777" w:rsidR="00141612" w:rsidRDefault="00141612">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141612" w14:paraId="7956F827"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B774322" w14:textId="77777777" w:rsidR="00141612" w:rsidRDefault="00000000">
            <w:r>
              <w:rPr>
                <w:b/>
                <w:bCs/>
                <w:color w:val="1B3A6B"/>
                <w:sz w:val="20"/>
                <w:szCs w:val="20"/>
              </w:rPr>
              <w:t>Applies To</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095768AA" w14:textId="77777777" w:rsidR="00141612" w:rsidRDefault="00000000">
            <w:r>
              <w:rPr>
                <w:sz w:val="20"/>
                <w:szCs w:val="20"/>
              </w:rPr>
              <w:t>All students, staff, tutors, contractors, volunteers and visitors of TLSPH LTD</w:t>
            </w:r>
          </w:p>
        </w:tc>
      </w:tr>
    </w:tbl>
    <w:p w14:paraId="187AEB6E" w14:textId="77777777" w:rsidR="00141612" w:rsidRDefault="00141612">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141612" w14:paraId="0344E1F8"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EA686CB" w14:textId="77777777" w:rsidR="00141612" w:rsidRDefault="00000000">
            <w:r>
              <w:rPr>
                <w:b/>
                <w:bCs/>
                <w:color w:val="1B3A6B"/>
                <w:sz w:val="20"/>
                <w:szCs w:val="20"/>
              </w:rPr>
              <w:t>UK Legislative Framework</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158DFD8E" w14:textId="77777777" w:rsidR="00141612" w:rsidRDefault="00000000">
            <w:r>
              <w:rPr>
                <w:sz w:val="20"/>
                <w:szCs w:val="20"/>
              </w:rPr>
              <w:t>Equality Act 2010 | Human Rights Act 1998 | Data Protection Act 2018 | UK General Data Protection Regulation (UK GDPR) | Counter-Terrorism and Security Act 2015 (Prevent Duty) | Equality and Human Rights Commission (EHRC) Statutory Codes of Practice | Ofqual General Conditions of Recognition | Education Act 1996</w:t>
            </w:r>
          </w:p>
        </w:tc>
      </w:tr>
    </w:tbl>
    <w:p w14:paraId="049D8F1C" w14:textId="77777777" w:rsidR="00141612" w:rsidRDefault="00141612">
      <w:pPr>
        <w:spacing w:after="80"/>
      </w:pPr>
    </w:p>
    <w:p w14:paraId="2B87D880" w14:textId="77777777" w:rsidR="00141612" w:rsidRDefault="00141612">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41612" w14:paraId="53F8119E"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EAF7EF"/>
            <w:tcMar>
              <w:top w:w="120" w:type="dxa"/>
              <w:left w:w="200" w:type="dxa"/>
              <w:bottom w:w="120" w:type="dxa"/>
              <w:right w:w="200" w:type="dxa"/>
            </w:tcMar>
          </w:tcPr>
          <w:p w14:paraId="1589813B" w14:textId="77777777" w:rsidR="00141612" w:rsidRDefault="00000000">
            <w:pPr>
              <w:spacing w:after="60"/>
            </w:pPr>
            <w:r>
              <w:rPr>
                <w:b/>
                <w:bCs/>
                <w:color w:val="1A7A4A"/>
                <w:sz w:val="21"/>
                <w:szCs w:val="21"/>
              </w:rPr>
              <w:t>Our Commitment</w:t>
            </w:r>
          </w:p>
          <w:p w14:paraId="572F7DC0" w14:textId="77777777" w:rsidR="00141612" w:rsidRDefault="00000000">
            <w:r>
              <w:rPr>
                <w:sz w:val="20"/>
                <w:szCs w:val="20"/>
              </w:rPr>
              <w:t>TLSPH LTD is committed to equality of opportunity for all. We will not tolerate discrimination, harassment, bullying or victimisation of any kind. We actively promote an inclusive culture in which every student, member of staff, and associate is treated with dignity and respect, regardless of any protected characteristic as defined under the Equality Act 2010.</w:t>
            </w:r>
          </w:p>
        </w:tc>
      </w:tr>
    </w:tbl>
    <w:p w14:paraId="6EC8BAE7" w14:textId="77777777" w:rsidR="00141612" w:rsidRDefault="00141612">
      <w:pPr>
        <w:spacing w:after="80"/>
      </w:pPr>
    </w:p>
    <w:p w14:paraId="25B72E53" w14:textId="77777777" w:rsidR="00141612" w:rsidRDefault="00000000">
      <w:pPr>
        <w:pBdr>
          <w:bottom w:val="single" w:sz="6" w:space="4" w:color="2E75B6"/>
        </w:pBdr>
        <w:spacing w:before="320" w:after="120"/>
      </w:pPr>
      <w:r>
        <w:rPr>
          <w:b/>
          <w:bCs/>
          <w:color w:val="1B3A6B"/>
          <w:sz w:val="28"/>
          <w:szCs w:val="28"/>
        </w:rPr>
        <w:t>1. Purpose</w:t>
      </w:r>
    </w:p>
    <w:p w14:paraId="7F78EA1C" w14:textId="77777777" w:rsidR="00141612" w:rsidRDefault="00000000">
      <w:pPr>
        <w:spacing w:before="60" w:after="100"/>
      </w:pPr>
      <w:r>
        <w:t>This policy sets out the commitment of TLSPH LTD (trading as The London School of Public Health, referred to as "TLSPH") to equality, diversity, and inclusion (EDI) in all aspects of our work, including student admissions, course delivery, assessment, staff recruitment, and organisational governance.</w:t>
      </w:r>
    </w:p>
    <w:p w14:paraId="5CBA2AB5" w14:textId="77777777" w:rsidR="00141612" w:rsidRDefault="00000000">
      <w:pPr>
        <w:spacing w:before="60" w:after="100"/>
      </w:pPr>
      <w:r>
        <w:t>TLSPH recognises that equality is not simply about treating everyone identically. It means taking positive steps to ensure that all people have a genuine and fair opportunity to participate in, and benefit from, education — acknowledging that some individuals may require different levels of support to achieve equal outcomes.</w:t>
      </w:r>
    </w:p>
    <w:p w14:paraId="6D054961" w14:textId="77777777" w:rsidR="00141612" w:rsidRDefault="00000000">
      <w:pPr>
        <w:spacing w:before="60" w:after="100"/>
      </w:pPr>
      <w:r>
        <w:t>This policy applies to all students, staff, tutors, contractors, volunteers, and any individual acting on behalf of TLSPH, in the UK and internationally.</w:t>
      </w:r>
    </w:p>
    <w:p w14:paraId="7EDCF017" w14:textId="77777777" w:rsidR="00141612" w:rsidRDefault="00141612">
      <w:pPr>
        <w:spacing w:after="80"/>
      </w:pPr>
    </w:p>
    <w:p w14:paraId="7CF3AB3F" w14:textId="77777777" w:rsidR="00141612" w:rsidRDefault="00000000">
      <w:pPr>
        <w:pBdr>
          <w:bottom w:val="single" w:sz="6" w:space="4" w:color="2E75B6"/>
        </w:pBdr>
        <w:spacing w:before="320" w:after="120"/>
      </w:pPr>
      <w:r>
        <w:rPr>
          <w:b/>
          <w:bCs/>
          <w:color w:val="1B3A6B"/>
          <w:sz w:val="28"/>
          <w:szCs w:val="28"/>
        </w:rPr>
        <w:t>2. Scope</w:t>
      </w:r>
    </w:p>
    <w:p w14:paraId="2AFD8AB2" w14:textId="77777777" w:rsidR="00141612" w:rsidRDefault="00000000">
      <w:pPr>
        <w:spacing w:before="60" w:after="100"/>
      </w:pPr>
      <w:r>
        <w:t>This policy applies to all TLSPH activities, including but not limited to:</w:t>
      </w:r>
    </w:p>
    <w:p w14:paraId="5BBE9D6A" w14:textId="77777777" w:rsidR="00141612" w:rsidRDefault="00000000">
      <w:pPr>
        <w:pStyle w:val="ListParagraph"/>
        <w:numPr>
          <w:ilvl w:val="0"/>
          <w:numId w:val="2"/>
        </w:numPr>
        <w:spacing w:before="40" w:after="40"/>
      </w:pPr>
      <w:r>
        <w:t>Student recruitment, admissions, and enrolment</w:t>
      </w:r>
    </w:p>
    <w:p w14:paraId="3AA9C1AD" w14:textId="77777777" w:rsidR="00141612" w:rsidRDefault="00000000">
      <w:pPr>
        <w:pStyle w:val="ListParagraph"/>
        <w:numPr>
          <w:ilvl w:val="0"/>
          <w:numId w:val="2"/>
        </w:numPr>
        <w:spacing w:before="40" w:after="40"/>
      </w:pPr>
      <w:r>
        <w:t>Course design, delivery, and assessment</w:t>
      </w:r>
    </w:p>
    <w:p w14:paraId="1D77DF58" w14:textId="77777777" w:rsidR="00141612" w:rsidRDefault="00000000">
      <w:pPr>
        <w:pStyle w:val="ListParagraph"/>
        <w:numPr>
          <w:ilvl w:val="0"/>
          <w:numId w:val="2"/>
        </w:numPr>
        <w:spacing w:before="40" w:after="40"/>
      </w:pPr>
      <w:r>
        <w:t>Student support and wellbeing services</w:t>
      </w:r>
    </w:p>
    <w:p w14:paraId="1ABFF01D" w14:textId="77777777" w:rsidR="00141612" w:rsidRDefault="00000000">
      <w:pPr>
        <w:pStyle w:val="ListParagraph"/>
        <w:numPr>
          <w:ilvl w:val="0"/>
          <w:numId w:val="2"/>
        </w:numPr>
        <w:spacing w:before="40" w:after="40"/>
      </w:pPr>
      <w:r>
        <w:t>Staff recruitment, selection, and employment</w:t>
      </w:r>
    </w:p>
    <w:p w14:paraId="506B4467" w14:textId="77777777" w:rsidR="00141612" w:rsidRDefault="00000000">
      <w:pPr>
        <w:pStyle w:val="ListParagraph"/>
        <w:numPr>
          <w:ilvl w:val="0"/>
          <w:numId w:val="2"/>
        </w:numPr>
        <w:spacing w:before="40" w:after="40"/>
      </w:pPr>
      <w:r>
        <w:t>Staff training, development, and promotion</w:t>
      </w:r>
    </w:p>
    <w:p w14:paraId="3E2C0247" w14:textId="77777777" w:rsidR="00141612" w:rsidRDefault="00000000">
      <w:pPr>
        <w:pStyle w:val="ListParagraph"/>
        <w:numPr>
          <w:ilvl w:val="0"/>
          <w:numId w:val="2"/>
        </w:numPr>
        <w:spacing w:before="40" w:after="40"/>
      </w:pPr>
      <w:r>
        <w:t>Online learning environments and digital communications</w:t>
      </w:r>
    </w:p>
    <w:p w14:paraId="396035FC" w14:textId="77777777" w:rsidR="00141612" w:rsidRDefault="00000000">
      <w:pPr>
        <w:pStyle w:val="ListParagraph"/>
        <w:numPr>
          <w:ilvl w:val="0"/>
          <w:numId w:val="2"/>
        </w:numPr>
        <w:spacing w:before="40" w:after="40"/>
      </w:pPr>
      <w:r>
        <w:t>External partnerships, collaborations, and events</w:t>
      </w:r>
    </w:p>
    <w:p w14:paraId="3B03D65F" w14:textId="77777777" w:rsidR="00141612" w:rsidRDefault="00000000">
      <w:pPr>
        <w:pStyle w:val="ListParagraph"/>
        <w:numPr>
          <w:ilvl w:val="0"/>
          <w:numId w:val="2"/>
        </w:numPr>
        <w:spacing w:before="40" w:after="40"/>
      </w:pPr>
      <w:r>
        <w:t>The TLSPH website and marketing materials</w:t>
      </w:r>
    </w:p>
    <w:p w14:paraId="1D43BB7A" w14:textId="77777777" w:rsidR="00141612" w:rsidRDefault="00141612">
      <w:pPr>
        <w:spacing w:after="80"/>
      </w:pPr>
    </w:p>
    <w:p w14:paraId="4A7BFD4E" w14:textId="77777777" w:rsidR="00141612" w:rsidRDefault="00000000">
      <w:pPr>
        <w:pBdr>
          <w:bottom w:val="single" w:sz="6" w:space="4" w:color="2E75B6"/>
        </w:pBdr>
        <w:spacing w:before="320" w:after="120"/>
      </w:pPr>
      <w:r>
        <w:rPr>
          <w:b/>
          <w:bCs/>
          <w:color w:val="1B3A6B"/>
          <w:sz w:val="28"/>
          <w:szCs w:val="28"/>
        </w:rPr>
        <w:t>3. Legal Framework</w:t>
      </w:r>
    </w:p>
    <w:p w14:paraId="11B165D7" w14:textId="77777777" w:rsidR="00141612" w:rsidRDefault="00000000">
      <w:pPr>
        <w:spacing w:before="60" w:after="100"/>
      </w:pPr>
      <w:r>
        <w:t>TLSPH operates in full compliance with the following UK legislation and statutory guidance:</w:t>
      </w:r>
    </w:p>
    <w:p w14:paraId="5D9CAE0A" w14:textId="77777777" w:rsidR="00141612" w:rsidRDefault="00000000">
      <w:pPr>
        <w:spacing w:before="220" w:after="80"/>
      </w:pPr>
      <w:r>
        <w:rPr>
          <w:b/>
          <w:bCs/>
          <w:color w:val="2E75B6"/>
          <w:sz w:val="24"/>
          <w:szCs w:val="24"/>
        </w:rPr>
        <w:t>3.1 Equality Act 2010</w:t>
      </w:r>
    </w:p>
    <w:p w14:paraId="5ECD93AB" w14:textId="77777777" w:rsidR="00141612" w:rsidRDefault="00000000">
      <w:pPr>
        <w:spacing w:before="60" w:after="100"/>
      </w:pPr>
      <w:r>
        <w:t>The Equality Act 2010 is the primary UK legislation governing equality and non-discrimination. It consolidates and replaces earlier legislation including the Race Relations Act 1976, the Sex Discrimination Act 1975, and the Disability Discrimination Act 1995. The Act prohibits discrimination, harassment, and victimisation in relation to nine protected characteristics.</w:t>
      </w:r>
    </w:p>
    <w:p w14:paraId="0FA6DF64" w14:textId="77777777" w:rsidR="00141612" w:rsidRDefault="00000000">
      <w:pPr>
        <w:spacing w:before="60" w:after="100"/>
      </w:pPr>
      <w:r>
        <w:t>The Act defines four main forms of prohibited conduct:</w:t>
      </w:r>
    </w:p>
    <w:p w14:paraId="0FD4B1C2" w14:textId="77777777" w:rsidR="00141612" w:rsidRDefault="00000000">
      <w:pPr>
        <w:pStyle w:val="ListParagraph"/>
        <w:numPr>
          <w:ilvl w:val="0"/>
          <w:numId w:val="2"/>
        </w:numPr>
        <w:spacing w:before="40" w:after="40"/>
      </w:pPr>
      <w:r>
        <w:t>Direct discrimination — treating a person less favourably because of a protected characteristic (s.13)</w:t>
      </w:r>
    </w:p>
    <w:p w14:paraId="6DB41C51" w14:textId="77777777" w:rsidR="00141612" w:rsidRDefault="00000000">
      <w:pPr>
        <w:pStyle w:val="ListParagraph"/>
        <w:numPr>
          <w:ilvl w:val="0"/>
          <w:numId w:val="2"/>
        </w:numPr>
        <w:spacing w:before="40" w:after="40"/>
      </w:pPr>
      <w:r>
        <w:t>Indirect discrimination — applying a provision, criterion, or practice that puts those sharing a protected characteristic at a particular disadvantage, without objective justification (s.19)</w:t>
      </w:r>
    </w:p>
    <w:p w14:paraId="31AF3C26" w14:textId="77777777" w:rsidR="00141612" w:rsidRDefault="00000000">
      <w:pPr>
        <w:pStyle w:val="ListParagraph"/>
        <w:numPr>
          <w:ilvl w:val="0"/>
          <w:numId w:val="2"/>
        </w:numPr>
        <w:spacing w:before="40" w:after="40"/>
      </w:pPr>
      <w:r>
        <w:t>Harassment — unwanted conduct related to a protected characteristic that has the purpose or effect of violating dignity, or creating an intimidating, hostile, degrading, humiliating, or offensive environment (s.26)</w:t>
      </w:r>
    </w:p>
    <w:p w14:paraId="2AA346DD" w14:textId="77777777" w:rsidR="00141612" w:rsidRDefault="00000000">
      <w:pPr>
        <w:pStyle w:val="ListParagraph"/>
        <w:numPr>
          <w:ilvl w:val="0"/>
          <w:numId w:val="2"/>
        </w:numPr>
        <w:spacing w:before="40" w:after="40"/>
      </w:pPr>
      <w:r>
        <w:t>Victimisation — subjecting a person to a detriment because they have made, or supported, a complaint under the Equality Act 2010 (s.27)</w:t>
      </w:r>
    </w:p>
    <w:p w14:paraId="54E24395" w14:textId="77777777" w:rsidR="00141612" w:rsidRDefault="00000000">
      <w:pPr>
        <w:spacing w:before="220" w:after="80"/>
      </w:pPr>
      <w:r>
        <w:rPr>
          <w:b/>
          <w:bCs/>
          <w:color w:val="2E75B6"/>
          <w:sz w:val="24"/>
          <w:szCs w:val="24"/>
        </w:rPr>
        <w:t>3.2 Human Rights Act 1998</w:t>
      </w:r>
    </w:p>
    <w:p w14:paraId="074786EB" w14:textId="77777777" w:rsidR="00141612" w:rsidRDefault="00000000">
      <w:pPr>
        <w:spacing w:before="60" w:after="100"/>
      </w:pPr>
      <w:r>
        <w:t>TLSPH is mindful of the rights enshrined in the European Convention on Human Rights (ECHR) as incorporated into UK law by the Human Rights Act 1998, including the right to respect for private and family life (Article 8), freedom of thought, conscience and religion (Article 9), and the prohibition of discrimination in the enjoyment of Convention rights (Article 14).</w:t>
      </w:r>
    </w:p>
    <w:p w14:paraId="5E0FAC67" w14:textId="77777777" w:rsidR="00141612" w:rsidRDefault="00000000">
      <w:pPr>
        <w:spacing w:before="220" w:after="80"/>
      </w:pPr>
      <w:r>
        <w:rPr>
          <w:b/>
          <w:bCs/>
          <w:color w:val="2E75B6"/>
          <w:sz w:val="24"/>
          <w:szCs w:val="24"/>
        </w:rPr>
        <w:t>3.3 Public Sector Equality Duty (PSED)</w:t>
      </w:r>
    </w:p>
    <w:p w14:paraId="1A55CCC1" w14:textId="77777777" w:rsidR="00141612" w:rsidRDefault="00000000">
      <w:pPr>
        <w:spacing w:before="60" w:after="100"/>
      </w:pPr>
      <w:r>
        <w:t>Whilst TLSPH is a private organisation and not directly subject to the Public Sector Equality Duty under section 149 of the Equality Act 2010, we voluntarily adopt the spirit of the PSED in our operations. This means we have due regard to the need to:</w:t>
      </w:r>
    </w:p>
    <w:p w14:paraId="689CB9B7" w14:textId="77777777" w:rsidR="00141612" w:rsidRDefault="00000000">
      <w:pPr>
        <w:pStyle w:val="ListParagraph"/>
        <w:numPr>
          <w:ilvl w:val="0"/>
          <w:numId w:val="2"/>
        </w:numPr>
        <w:spacing w:before="40" w:after="40"/>
      </w:pPr>
      <w:r>
        <w:t>Eliminate unlawful discrimination, harassment, and victimisation</w:t>
      </w:r>
    </w:p>
    <w:p w14:paraId="5F8D84C2" w14:textId="77777777" w:rsidR="00141612" w:rsidRDefault="00000000">
      <w:pPr>
        <w:pStyle w:val="ListParagraph"/>
        <w:numPr>
          <w:ilvl w:val="0"/>
          <w:numId w:val="2"/>
        </w:numPr>
        <w:spacing w:before="40" w:after="40"/>
      </w:pPr>
      <w:r>
        <w:t>Advance equality of opportunity between those who share a protected characteristic and those who do not</w:t>
      </w:r>
    </w:p>
    <w:p w14:paraId="532AFA2A" w14:textId="77777777" w:rsidR="00141612" w:rsidRDefault="00000000">
      <w:pPr>
        <w:pStyle w:val="ListParagraph"/>
        <w:numPr>
          <w:ilvl w:val="0"/>
          <w:numId w:val="2"/>
        </w:numPr>
        <w:spacing w:before="40" w:after="40"/>
      </w:pPr>
      <w:r>
        <w:lastRenderedPageBreak/>
        <w:t>Foster good relations between people who share a protected characteristic and those who do not</w:t>
      </w:r>
    </w:p>
    <w:p w14:paraId="32CC087B" w14:textId="77777777" w:rsidR="00141612" w:rsidRDefault="00000000">
      <w:pPr>
        <w:spacing w:before="220" w:after="80"/>
      </w:pPr>
      <w:r>
        <w:rPr>
          <w:b/>
          <w:bCs/>
          <w:color w:val="2E75B6"/>
          <w:sz w:val="24"/>
          <w:szCs w:val="24"/>
        </w:rPr>
        <w:t>3.4 Prevent Duty</w:t>
      </w:r>
    </w:p>
    <w:p w14:paraId="586E2DC0" w14:textId="77777777" w:rsidR="00141612" w:rsidRDefault="00000000">
      <w:pPr>
        <w:spacing w:before="60" w:after="100"/>
      </w:pPr>
      <w:r>
        <w:t>TLSPH takes seriously its responsibilities under the Prevent strand of the UK Government's CONTEST counter-terrorism strategy, as established under the Counter-Terrorism and Security Act 2015. We are committed to fostering an environment in which extremist views are challenged and students are protected from radicalisation. This duty is addressed in detail in the TLSPH Safeguarding Policy (TLSPH-POL-003).</w:t>
      </w:r>
    </w:p>
    <w:p w14:paraId="15DDFB24" w14:textId="77777777" w:rsidR="00141612" w:rsidRDefault="00000000">
      <w:pPr>
        <w:spacing w:before="220" w:after="80"/>
      </w:pPr>
      <w:r>
        <w:rPr>
          <w:b/>
          <w:bCs/>
          <w:color w:val="2E75B6"/>
          <w:sz w:val="24"/>
          <w:szCs w:val="24"/>
        </w:rPr>
        <w:t>3.5 Ofqual General Conditions of Recognition</w:t>
      </w:r>
    </w:p>
    <w:p w14:paraId="7FF84620" w14:textId="77777777" w:rsidR="00141612" w:rsidRDefault="00000000">
      <w:pPr>
        <w:spacing w:before="60" w:after="100"/>
      </w:pPr>
      <w:r>
        <w:t>As a provider of Ofqual-regulated qualifications (including NCFE/CACHE programmes), TLSPH must comply with Ofqual's General Conditions of Recognition, which include requirements to ensure that qualifications and assessments are accessible and do not unfairly disadvantage any group of learners. TLSPH will make reasonable adjustments to assessment arrangements where required.</w:t>
      </w:r>
    </w:p>
    <w:p w14:paraId="72A746B6" w14:textId="77777777" w:rsidR="00141612" w:rsidRDefault="00141612">
      <w:pPr>
        <w:spacing w:after="80"/>
      </w:pPr>
    </w:p>
    <w:p w14:paraId="1650B585" w14:textId="77777777" w:rsidR="00141612" w:rsidRDefault="00000000">
      <w:pPr>
        <w:pBdr>
          <w:bottom w:val="single" w:sz="6" w:space="4" w:color="2E75B6"/>
        </w:pBdr>
        <w:spacing w:before="320" w:after="120"/>
      </w:pPr>
      <w:r>
        <w:rPr>
          <w:b/>
          <w:bCs/>
          <w:color w:val="1B3A6B"/>
          <w:sz w:val="28"/>
          <w:szCs w:val="28"/>
        </w:rPr>
        <w:t>4. The Nine Protected Characteristics</w:t>
      </w:r>
    </w:p>
    <w:p w14:paraId="31507D78" w14:textId="77777777" w:rsidR="00141612" w:rsidRDefault="00000000">
      <w:pPr>
        <w:spacing w:before="60" w:after="100"/>
      </w:pPr>
      <w:r>
        <w:t>The Equality Act 2010 identifies nine protected characteristics. TLSPH prohibits discrimination on the basis of any of these characteristics in all its activities:</w:t>
      </w:r>
    </w:p>
    <w:p w14:paraId="77EA2960" w14:textId="77777777" w:rsidR="00141612" w:rsidRDefault="00141612">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141612" w14:paraId="394302BD" w14:textId="77777777">
        <w:tblPrEx>
          <w:tblCellMar>
            <w:top w:w="0" w:type="dxa"/>
            <w:bottom w:w="0" w:type="dxa"/>
          </w:tblCellMar>
        </w:tblPrEx>
        <w:trPr>
          <w:tblHeader/>
        </w:trPr>
        <w:tc>
          <w:tcPr>
            <w:tcW w:w="28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6D423E56" w14:textId="77777777" w:rsidR="00141612" w:rsidRDefault="00000000">
            <w:r>
              <w:rPr>
                <w:b/>
                <w:bCs/>
                <w:color w:val="FFFFFF"/>
                <w:sz w:val="19"/>
                <w:szCs w:val="19"/>
              </w:rPr>
              <w:t>Protected Characteristic</w:t>
            </w:r>
          </w:p>
        </w:tc>
        <w:tc>
          <w:tcPr>
            <w:tcW w:w="6226"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215E49D4" w14:textId="77777777" w:rsidR="00141612" w:rsidRDefault="00000000">
            <w:r>
              <w:rPr>
                <w:b/>
                <w:bCs/>
                <w:color w:val="FFFFFF"/>
                <w:sz w:val="19"/>
                <w:szCs w:val="19"/>
              </w:rPr>
              <w:t>Definition (Equality Act 2010)</w:t>
            </w:r>
          </w:p>
        </w:tc>
      </w:tr>
      <w:tr w:rsidR="00141612" w14:paraId="083E8D4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CCD364" w14:textId="77777777" w:rsidR="00141612" w:rsidRDefault="00000000">
            <w:r>
              <w:rPr>
                <w:b/>
                <w:bCs/>
                <w:sz w:val="19"/>
                <w:szCs w:val="19"/>
              </w:rPr>
              <w:t>Age</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D68F25" w14:textId="77777777" w:rsidR="00141612" w:rsidRDefault="00000000">
            <w:r>
              <w:rPr>
                <w:sz w:val="19"/>
                <w:szCs w:val="19"/>
              </w:rPr>
              <w:t>Protection from discrimination on grounds of age, applying to all age groups.</w:t>
            </w:r>
          </w:p>
        </w:tc>
      </w:tr>
      <w:tr w:rsidR="00141612" w14:paraId="5003882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62BDD88B" w14:textId="77777777" w:rsidR="00141612" w:rsidRDefault="00000000">
            <w:r>
              <w:rPr>
                <w:b/>
                <w:bCs/>
                <w:sz w:val="19"/>
                <w:szCs w:val="19"/>
              </w:rPr>
              <w:t>Disability</w:t>
            </w:r>
          </w:p>
        </w:tc>
        <w:tc>
          <w:tcPr>
            <w:tcW w:w="6226"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282935D9" w14:textId="77777777" w:rsidR="00141612" w:rsidRDefault="00000000">
            <w:r>
              <w:rPr>
                <w:sz w:val="19"/>
                <w:szCs w:val="19"/>
              </w:rPr>
              <w:t>A physical or mental impairment that has a substantial and long-term adverse effect on the ability to carry out normal day-to-day activities (s.6, Equality Act 2010).</w:t>
            </w:r>
          </w:p>
        </w:tc>
      </w:tr>
      <w:tr w:rsidR="00141612" w14:paraId="5A275A4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8AC3C4" w14:textId="77777777" w:rsidR="00141612" w:rsidRDefault="00000000">
            <w:r>
              <w:rPr>
                <w:b/>
                <w:bCs/>
                <w:sz w:val="19"/>
                <w:szCs w:val="19"/>
              </w:rPr>
              <w:t>Gender Reassignment</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850541" w14:textId="77777777" w:rsidR="00141612" w:rsidRDefault="00000000">
            <w:r>
              <w:rPr>
                <w:sz w:val="19"/>
                <w:szCs w:val="19"/>
              </w:rPr>
              <w:t>The process of transitioning from one gender to another, whether or not involving medical treatment (s.7, Equality Act 2010).</w:t>
            </w:r>
          </w:p>
        </w:tc>
      </w:tr>
      <w:tr w:rsidR="00141612" w14:paraId="7AD1AF8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32BFB442" w14:textId="77777777" w:rsidR="00141612" w:rsidRDefault="00000000">
            <w:r>
              <w:rPr>
                <w:b/>
                <w:bCs/>
                <w:sz w:val="19"/>
                <w:szCs w:val="19"/>
              </w:rPr>
              <w:t>Marriage and Civil Partnership</w:t>
            </w:r>
          </w:p>
        </w:tc>
        <w:tc>
          <w:tcPr>
            <w:tcW w:w="6226"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7F73069D" w14:textId="77777777" w:rsidR="00141612" w:rsidRDefault="00000000">
            <w:r>
              <w:rPr>
                <w:sz w:val="19"/>
                <w:szCs w:val="19"/>
              </w:rPr>
              <w:t>Protection in employment contexts for those who are married or in a civil partnership.</w:t>
            </w:r>
          </w:p>
        </w:tc>
      </w:tr>
      <w:tr w:rsidR="00141612" w14:paraId="42C5E82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4840BC" w14:textId="77777777" w:rsidR="00141612" w:rsidRDefault="00000000">
            <w:r>
              <w:rPr>
                <w:b/>
                <w:bCs/>
                <w:sz w:val="19"/>
                <w:szCs w:val="19"/>
              </w:rPr>
              <w:t>Pregnancy and Maternity</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E85306" w14:textId="77777777" w:rsidR="00141612" w:rsidRDefault="00000000">
            <w:r>
              <w:rPr>
                <w:sz w:val="19"/>
                <w:szCs w:val="19"/>
              </w:rPr>
              <w:t>Protection during pregnancy and maternity leave periods.</w:t>
            </w:r>
          </w:p>
        </w:tc>
      </w:tr>
      <w:tr w:rsidR="00141612" w14:paraId="171E59B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3D679A8D" w14:textId="77777777" w:rsidR="00141612" w:rsidRDefault="00000000">
            <w:r>
              <w:rPr>
                <w:b/>
                <w:bCs/>
                <w:sz w:val="19"/>
                <w:szCs w:val="19"/>
              </w:rPr>
              <w:t>Race</w:t>
            </w:r>
          </w:p>
        </w:tc>
        <w:tc>
          <w:tcPr>
            <w:tcW w:w="6226"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4AA0D529" w14:textId="77777777" w:rsidR="00141612" w:rsidRDefault="00000000">
            <w:r>
              <w:rPr>
                <w:sz w:val="19"/>
                <w:szCs w:val="19"/>
              </w:rPr>
              <w:t>Includes colour, nationality, and ethnic or national origins (s.9, Equality Act 2010).</w:t>
            </w:r>
          </w:p>
        </w:tc>
      </w:tr>
      <w:tr w:rsidR="00141612" w14:paraId="34AAEA0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658B52" w14:textId="77777777" w:rsidR="00141612" w:rsidRDefault="00000000">
            <w:r>
              <w:rPr>
                <w:b/>
                <w:bCs/>
                <w:sz w:val="19"/>
                <w:szCs w:val="19"/>
              </w:rPr>
              <w:t>Religion or Belief</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9E6C3C" w14:textId="77777777" w:rsidR="00141612" w:rsidRDefault="00000000">
            <w:r>
              <w:rPr>
                <w:sz w:val="19"/>
                <w:szCs w:val="19"/>
              </w:rPr>
              <w:t>Includes any religion, religious or philosophical belief, or lack of religion or belief (s.10, Equality Act 2010).</w:t>
            </w:r>
          </w:p>
        </w:tc>
      </w:tr>
      <w:tr w:rsidR="00141612" w14:paraId="626BA06D"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1BE1E4A9" w14:textId="77777777" w:rsidR="00141612" w:rsidRDefault="00000000">
            <w:r>
              <w:rPr>
                <w:b/>
                <w:bCs/>
                <w:sz w:val="19"/>
                <w:szCs w:val="19"/>
              </w:rPr>
              <w:t>Sex</w:t>
            </w:r>
          </w:p>
        </w:tc>
        <w:tc>
          <w:tcPr>
            <w:tcW w:w="6226"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440DD9DC" w14:textId="77777777" w:rsidR="00141612" w:rsidRDefault="00000000">
            <w:r>
              <w:rPr>
                <w:sz w:val="19"/>
                <w:szCs w:val="19"/>
              </w:rPr>
              <w:t>Protection from discrimination on grounds of being male or female (s.11, Equality Act 2010).</w:t>
            </w:r>
          </w:p>
        </w:tc>
      </w:tr>
      <w:tr w:rsidR="00141612" w14:paraId="53BB913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F6737A" w14:textId="77777777" w:rsidR="00141612" w:rsidRDefault="00000000">
            <w:r>
              <w:rPr>
                <w:b/>
                <w:bCs/>
                <w:sz w:val="19"/>
                <w:szCs w:val="19"/>
              </w:rPr>
              <w:t>Sexual Orientation</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B8EF27" w14:textId="77777777" w:rsidR="00141612" w:rsidRDefault="00000000">
            <w:r>
              <w:rPr>
                <w:sz w:val="19"/>
                <w:szCs w:val="19"/>
              </w:rPr>
              <w:t>Includes being heterosexual, homosexual or bisexual (s.12, Equality Act 2010).</w:t>
            </w:r>
          </w:p>
        </w:tc>
      </w:tr>
    </w:tbl>
    <w:p w14:paraId="5DBEFA51" w14:textId="77777777" w:rsidR="00141612" w:rsidRDefault="00141612">
      <w:pPr>
        <w:spacing w:after="80"/>
      </w:pPr>
    </w:p>
    <w:p w14:paraId="0295E1A0" w14:textId="77777777" w:rsidR="00141612" w:rsidRDefault="00141612">
      <w:pPr>
        <w:spacing w:after="80"/>
      </w:pPr>
    </w:p>
    <w:p w14:paraId="4AFD75B1" w14:textId="77777777" w:rsidR="00141612" w:rsidRDefault="00000000">
      <w:pPr>
        <w:pBdr>
          <w:bottom w:val="single" w:sz="6" w:space="4" w:color="2E75B6"/>
        </w:pBdr>
        <w:spacing w:before="320" w:after="120"/>
      </w:pPr>
      <w:r>
        <w:rPr>
          <w:b/>
          <w:bCs/>
          <w:color w:val="1B3A6B"/>
          <w:sz w:val="28"/>
          <w:szCs w:val="28"/>
        </w:rPr>
        <w:t>5. Our EDI Commitments</w:t>
      </w:r>
    </w:p>
    <w:p w14:paraId="7898D47A" w14:textId="77777777" w:rsidR="00141612" w:rsidRDefault="00000000">
      <w:pPr>
        <w:spacing w:before="220" w:after="80"/>
      </w:pPr>
      <w:r>
        <w:rPr>
          <w:b/>
          <w:bCs/>
          <w:color w:val="2E75B6"/>
          <w:sz w:val="24"/>
          <w:szCs w:val="24"/>
        </w:rPr>
        <w:lastRenderedPageBreak/>
        <w:t>5.1 Students</w:t>
      </w:r>
    </w:p>
    <w:p w14:paraId="1A1C409D" w14:textId="77777777" w:rsidR="00141612" w:rsidRDefault="00000000">
      <w:pPr>
        <w:spacing w:before="60" w:after="100"/>
      </w:pPr>
      <w:r>
        <w:t>TLSPH is committed to ensuring that all students have equal access to our programmes and receive fair and equitable treatment throughout their studies. Specifically, we will:</w:t>
      </w:r>
    </w:p>
    <w:p w14:paraId="48E776EA" w14:textId="77777777" w:rsidR="00141612" w:rsidRDefault="00000000">
      <w:pPr>
        <w:pStyle w:val="ListParagraph"/>
        <w:numPr>
          <w:ilvl w:val="0"/>
          <w:numId w:val="2"/>
        </w:numPr>
        <w:spacing w:before="40" w:after="40"/>
      </w:pPr>
      <w:r>
        <w:t>Ensure admissions processes are free from unlawful discrimination and assess applicants on their ability to benefit from the course</w:t>
      </w:r>
    </w:p>
    <w:p w14:paraId="72C9CB77" w14:textId="77777777" w:rsidR="00141612" w:rsidRDefault="00000000">
      <w:pPr>
        <w:pStyle w:val="ListParagraph"/>
        <w:numPr>
          <w:ilvl w:val="0"/>
          <w:numId w:val="2"/>
        </w:numPr>
        <w:spacing w:before="40" w:after="40"/>
      </w:pPr>
      <w:r>
        <w:t>Design and deliver courses in a manner that is accessible and inclusive, taking into account diverse learning needs</w:t>
      </w:r>
    </w:p>
    <w:p w14:paraId="428F99FA" w14:textId="77777777" w:rsidR="00141612" w:rsidRDefault="00000000">
      <w:pPr>
        <w:pStyle w:val="ListParagraph"/>
        <w:numPr>
          <w:ilvl w:val="0"/>
          <w:numId w:val="2"/>
        </w:numPr>
        <w:spacing w:before="40" w:after="40"/>
      </w:pPr>
      <w:r>
        <w:t>Make reasonable adjustments for students with disabilities, in accordance with section 20 of the Equality Act 2010</w:t>
      </w:r>
    </w:p>
    <w:p w14:paraId="1A12EE81" w14:textId="77777777" w:rsidR="00141612" w:rsidRDefault="00000000">
      <w:pPr>
        <w:pStyle w:val="ListParagraph"/>
        <w:numPr>
          <w:ilvl w:val="0"/>
          <w:numId w:val="2"/>
        </w:numPr>
        <w:spacing w:before="40" w:after="40"/>
      </w:pPr>
      <w:r>
        <w:t>Ensure that assessments are designed and marked fairly, without bias related to any protected characteristic</w:t>
      </w:r>
    </w:p>
    <w:p w14:paraId="635486CE" w14:textId="77777777" w:rsidR="00141612" w:rsidRDefault="00000000">
      <w:pPr>
        <w:pStyle w:val="ListParagraph"/>
        <w:numPr>
          <w:ilvl w:val="0"/>
          <w:numId w:val="2"/>
        </w:numPr>
        <w:spacing w:before="40" w:after="40"/>
      </w:pPr>
      <w:r>
        <w:t>Provide a learning environment — including online platforms — that is free from harassment, discrimination, and bullying</w:t>
      </w:r>
    </w:p>
    <w:p w14:paraId="3CC472AA" w14:textId="77777777" w:rsidR="00141612" w:rsidRDefault="00000000">
      <w:pPr>
        <w:pStyle w:val="ListParagraph"/>
        <w:numPr>
          <w:ilvl w:val="0"/>
          <w:numId w:val="2"/>
        </w:numPr>
        <w:spacing w:before="40" w:after="40"/>
      </w:pPr>
      <w:r>
        <w:t>Actively consider the needs of international students, including those for whom English is not a first language</w:t>
      </w:r>
    </w:p>
    <w:p w14:paraId="576FB7D4" w14:textId="77777777" w:rsidR="00141612" w:rsidRDefault="00000000">
      <w:pPr>
        <w:pStyle w:val="ListParagraph"/>
        <w:numPr>
          <w:ilvl w:val="0"/>
          <w:numId w:val="2"/>
        </w:numPr>
        <w:spacing w:before="40" w:after="40"/>
      </w:pPr>
      <w:r>
        <w:t>Promote diverse representation in course content and case studies, reflecting the global nature of public health</w:t>
      </w:r>
    </w:p>
    <w:p w14:paraId="73EC1236" w14:textId="77777777" w:rsidR="00141612" w:rsidRDefault="00000000">
      <w:pPr>
        <w:spacing w:before="220" w:after="80"/>
      </w:pPr>
      <w:r>
        <w:rPr>
          <w:b/>
          <w:bCs/>
          <w:color w:val="2E75B6"/>
          <w:sz w:val="24"/>
          <w:szCs w:val="24"/>
        </w:rPr>
        <w:t>5.2 Staff, Tutors and Contractors</w:t>
      </w:r>
    </w:p>
    <w:p w14:paraId="4283856C" w14:textId="77777777" w:rsidR="00141612" w:rsidRDefault="00000000">
      <w:pPr>
        <w:spacing w:before="60" w:after="100"/>
      </w:pPr>
      <w:r>
        <w:t>TLSPH is committed to ensuring that all employment decisions — including recruitment, promotion, training, and termination — are based on merit and are free from unlawful discrimination. Specifically, we will:</w:t>
      </w:r>
    </w:p>
    <w:p w14:paraId="4AA257FA" w14:textId="77777777" w:rsidR="00141612" w:rsidRDefault="00000000">
      <w:pPr>
        <w:pStyle w:val="ListParagraph"/>
        <w:numPr>
          <w:ilvl w:val="0"/>
          <w:numId w:val="2"/>
        </w:numPr>
        <w:spacing w:before="40" w:after="40"/>
      </w:pPr>
      <w:r>
        <w:t>Apply the principles of fair, transparent, and objective recruitment in accordance with our Recruitment &amp; Selection Policy</w:t>
      </w:r>
    </w:p>
    <w:p w14:paraId="5115E032" w14:textId="77777777" w:rsidR="00141612" w:rsidRDefault="00000000">
      <w:pPr>
        <w:pStyle w:val="ListParagraph"/>
        <w:numPr>
          <w:ilvl w:val="0"/>
          <w:numId w:val="2"/>
        </w:numPr>
        <w:spacing w:before="40" w:after="40"/>
      </w:pPr>
      <w:r>
        <w:t>Ensure that all staff and tutors receive EDI awareness training as part of their induction</w:t>
      </w:r>
    </w:p>
    <w:p w14:paraId="4F46B7DA" w14:textId="77777777" w:rsidR="00141612" w:rsidRDefault="00000000">
      <w:pPr>
        <w:pStyle w:val="ListParagraph"/>
        <w:numPr>
          <w:ilvl w:val="0"/>
          <w:numId w:val="2"/>
        </w:numPr>
        <w:spacing w:before="40" w:after="40"/>
      </w:pPr>
      <w:r>
        <w:t>Ensure that staff are not subjected to harassment, bullying, or discrimination in the workplace</w:t>
      </w:r>
    </w:p>
    <w:p w14:paraId="6708104B" w14:textId="77777777" w:rsidR="00141612" w:rsidRDefault="00000000">
      <w:pPr>
        <w:pStyle w:val="ListParagraph"/>
        <w:numPr>
          <w:ilvl w:val="0"/>
          <w:numId w:val="2"/>
        </w:numPr>
        <w:spacing w:before="40" w:after="40"/>
      </w:pPr>
      <w:r>
        <w:t>Provide reasonable adjustments for staff with disabilities or health conditions</w:t>
      </w:r>
    </w:p>
    <w:p w14:paraId="3B65EEE1" w14:textId="77777777" w:rsidR="00141612" w:rsidRDefault="00000000">
      <w:pPr>
        <w:pStyle w:val="ListParagraph"/>
        <w:numPr>
          <w:ilvl w:val="0"/>
          <w:numId w:val="2"/>
        </w:numPr>
        <w:spacing w:before="40" w:after="40"/>
      </w:pPr>
      <w:r>
        <w:t>Ensure that pay, terms, and conditions of employment are applied equitably</w:t>
      </w:r>
    </w:p>
    <w:p w14:paraId="5089FB37" w14:textId="77777777" w:rsidR="00141612" w:rsidRDefault="00000000">
      <w:pPr>
        <w:pStyle w:val="ListParagraph"/>
        <w:numPr>
          <w:ilvl w:val="0"/>
          <w:numId w:val="2"/>
        </w:numPr>
        <w:spacing w:before="40" w:after="40"/>
      </w:pPr>
      <w:r>
        <w:t>Take seriously and investigate promptly any EDI-related concern raised by a member of staff</w:t>
      </w:r>
    </w:p>
    <w:p w14:paraId="58773FC6" w14:textId="77777777" w:rsidR="00141612" w:rsidRDefault="00000000">
      <w:pPr>
        <w:spacing w:before="220" w:after="80"/>
      </w:pPr>
      <w:r>
        <w:rPr>
          <w:b/>
          <w:bCs/>
          <w:color w:val="2E75B6"/>
          <w:sz w:val="24"/>
          <w:szCs w:val="24"/>
        </w:rPr>
        <w:t>5.3 Curriculum and Course Content</w:t>
      </w:r>
    </w:p>
    <w:p w14:paraId="71D6841D" w14:textId="77777777" w:rsidR="00141612" w:rsidRDefault="00000000">
      <w:pPr>
        <w:spacing w:before="60" w:after="100"/>
      </w:pPr>
      <w:r>
        <w:t>TLSPH is committed to embedding EDI principles into the design and delivery of its courses. We will:</w:t>
      </w:r>
    </w:p>
    <w:p w14:paraId="4D975009" w14:textId="77777777" w:rsidR="00141612" w:rsidRDefault="00000000">
      <w:pPr>
        <w:pStyle w:val="ListParagraph"/>
        <w:numPr>
          <w:ilvl w:val="0"/>
          <w:numId w:val="2"/>
        </w:numPr>
        <w:spacing w:before="40" w:after="40"/>
      </w:pPr>
      <w:r>
        <w:t>Ensure that course content reflects the diversity of communities served by public health professionals in the UK and internationally</w:t>
      </w:r>
    </w:p>
    <w:p w14:paraId="40E63AB8" w14:textId="77777777" w:rsidR="00141612" w:rsidRDefault="00000000">
      <w:pPr>
        <w:pStyle w:val="ListParagraph"/>
        <w:numPr>
          <w:ilvl w:val="0"/>
          <w:numId w:val="2"/>
        </w:numPr>
        <w:spacing w:before="40" w:after="40"/>
      </w:pPr>
      <w:r>
        <w:t>Include content that builds students' understanding of health inequalities and their social determinants</w:t>
      </w:r>
    </w:p>
    <w:p w14:paraId="5B676954" w14:textId="77777777" w:rsidR="00141612" w:rsidRDefault="00000000">
      <w:pPr>
        <w:pStyle w:val="ListParagraph"/>
        <w:numPr>
          <w:ilvl w:val="0"/>
          <w:numId w:val="2"/>
        </w:numPr>
        <w:spacing w:before="40" w:after="40"/>
      </w:pPr>
      <w:r>
        <w:t>Avoid the use of language, imagery, or examples that could be considered stereotyping or exclusionary</w:t>
      </w:r>
    </w:p>
    <w:p w14:paraId="2940961B" w14:textId="77777777" w:rsidR="00141612" w:rsidRDefault="00000000">
      <w:pPr>
        <w:pStyle w:val="ListParagraph"/>
        <w:numPr>
          <w:ilvl w:val="0"/>
          <w:numId w:val="2"/>
        </w:numPr>
        <w:spacing w:before="40" w:after="40"/>
      </w:pPr>
      <w:r>
        <w:t>Review course materials periodically to ensure they remain inclusive and up to date</w:t>
      </w:r>
    </w:p>
    <w:p w14:paraId="2DCB5470" w14:textId="77777777" w:rsidR="00141612" w:rsidRDefault="00000000">
      <w:pPr>
        <w:spacing w:before="220" w:after="80"/>
      </w:pPr>
      <w:r>
        <w:rPr>
          <w:b/>
          <w:bCs/>
          <w:color w:val="2E75B6"/>
          <w:sz w:val="24"/>
          <w:szCs w:val="24"/>
        </w:rPr>
        <w:t>5.4 Online Learning Environment</w:t>
      </w:r>
    </w:p>
    <w:p w14:paraId="6C73233A" w14:textId="77777777" w:rsidR="00141612" w:rsidRDefault="00000000">
      <w:pPr>
        <w:spacing w:before="60" w:after="100"/>
      </w:pPr>
      <w:r>
        <w:t>TLSPH's online learning environment must be a safe and inclusive space for all. We will:</w:t>
      </w:r>
    </w:p>
    <w:p w14:paraId="181B6068" w14:textId="77777777" w:rsidR="00141612" w:rsidRDefault="00000000">
      <w:pPr>
        <w:pStyle w:val="ListParagraph"/>
        <w:numPr>
          <w:ilvl w:val="0"/>
          <w:numId w:val="2"/>
        </w:numPr>
        <w:spacing w:before="40" w:after="40"/>
      </w:pPr>
      <w:r>
        <w:t>Ensure that the TLSPH website and learning platforms meet the requirements of the Web Content Accessibility Guidelines (WCAG) 2.1 at Level AA</w:t>
      </w:r>
    </w:p>
    <w:p w14:paraId="6D4E44D4" w14:textId="77777777" w:rsidR="00141612" w:rsidRDefault="00000000">
      <w:pPr>
        <w:pStyle w:val="ListParagraph"/>
        <w:numPr>
          <w:ilvl w:val="0"/>
          <w:numId w:val="2"/>
        </w:numPr>
        <w:spacing w:before="40" w:after="40"/>
      </w:pPr>
      <w:r>
        <w:t>Provide materials in accessible formats on request</w:t>
      </w:r>
    </w:p>
    <w:p w14:paraId="6EB36B0E" w14:textId="77777777" w:rsidR="00141612" w:rsidRDefault="00000000">
      <w:pPr>
        <w:pStyle w:val="ListParagraph"/>
        <w:numPr>
          <w:ilvl w:val="0"/>
          <w:numId w:val="2"/>
        </w:numPr>
        <w:spacing w:before="40" w:after="40"/>
      </w:pPr>
      <w:r>
        <w:lastRenderedPageBreak/>
        <w:t>Ensure that online communication — including discussion boards, video calls, and messaging — is conducted with mutual respect</w:t>
      </w:r>
    </w:p>
    <w:p w14:paraId="741EE39B" w14:textId="77777777" w:rsidR="00141612" w:rsidRDefault="00000000">
      <w:pPr>
        <w:pStyle w:val="ListParagraph"/>
        <w:numPr>
          <w:ilvl w:val="0"/>
          <w:numId w:val="2"/>
        </w:numPr>
        <w:spacing w:before="40" w:after="40"/>
      </w:pPr>
      <w:r>
        <w:t>Not tolerate discriminatory, offensive, or harassing behaviour in any online interaction</w:t>
      </w:r>
    </w:p>
    <w:p w14:paraId="600EA452" w14:textId="77777777" w:rsidR="00141612" w:rsidRDefault="00141612">
      <w:pPr>
        <w:spacing w:after="80"/>
      </w:pPr>
    </w:p>
    <w:p w14:paraId="2CC2D719" w14:textId="77777777" w:rsidR="00141612" w:rsidRDefault="00000000">
      <w:pPr>
        <w:pBdr>
          <w:bottom w:val="single" w:sz="6" w:space="4" w:color="2E75B6"/>
        </w:pBdr>
        <w:spacing w:before="320" w:after="120"/>
      </w:pPr>
      <w:r>
        <w:rPr>
          <w:b/>
          <w:bCs/>
          <w:color w:val="1B3A6B"/>
          <w:sz w:val="28"/>
          <w:szCs w:val="28"/>
        </w:rPr>
        <w:t>6. Responsibilities</w:t>
      </w:r>
    </w:p>
    <w:p w14:paraId="49C2B6D8" w14:textId="77777777" w:rsidR="00141612" w:rsidRDefault="00000000">
      <w:pPr>
        <w:spacing w:before="220" w:after="80"/>
      </w:pPr>
      <w:r>
        <w:rPr>
          <w:b/>
          <w:bCs/>
          <w:color w:val="2E75B6"/>
          <w:sz w:val="24"/>
          <w:szCs w:val="24"/>
        </w:rPr>
        <w:t>6.1 Senior Leadership Team</w:t>
      </w:r>
    </w:p>
    <w:p w14:paraId="4DED515D" w14:textId="77777777" w:rsidR="00141612" w:rsidRDefault="00000000">
      <w:pPr>
        <w:spacing w:before="60" w:after="100"/>
      </w:pPr>
      <w:r>
        <w:t>The Senior Leadership Team is responsible for:</w:t>
      </w:r>
    </w:p>
    <w:p w14:paraId="24572EE9" w14:textId="77777777" w:rsidR="00141612" w:rsidRDefault="00000000">
      <w:pPr>
        <w:pStyle w:val="ListParagraph"/>
        <w:numPr>
          <w:ilvl w:val="0"/>
          <w:numId w:val="2"/>
        </w:numPr>
        <w:spacing w:before="40" w:after="40"/>
      </w:pPr>
      <w:r>
        <w:t>Ensuring this policy is implemented, communicated, and reviewed annually</w:t>
      </w:r>
    </w:p>
    <w:p w14:paraId="3FAF571E" w14:textId="77777777" w:rsidR="00141612" w:rsidRDefault="00000000">
      <w:pPr>
        <w:pStyle w:val="ListParagraph"/>
        <w:numPr>
          <w:ilvl w:val="0"/>
          <w:numId w:val="2"/>
        </w:numPr>
        <w:spacing w:before="40" w:after="40"/>
      </w:pPr>
      <w:r>
        <w:t>Allocating sufficient resources to support EDI objectives</w:t>
      </w:r>
    </w:p>
    <w:p w14:paraId="44ADF5C3" w14:textId="77777777" w:rsidR="00141612" w:rsidRDefault="00000000">
      <w:pPr>
        <w:pStyle w:val="ListParagraph"/>
        <w:numPr>
          <w:ilvl w:val="0"/>
          <w:numId w:val="2"/>
        </w:numPr>
        <w:spacing w:before="40" w:after="40"/>
      </w:pPr>
      <w:r>
        <w:t>Investigating and responding to EDI-related complaints in accordance with the TLSPH Student Complaints &amp; Appeals Policy (TLSPH-POL-004)</w:t>
      </w:r>
    </w:p>
    <w:p w14:paraId="60BA07D7" w14:textId="77777777" w:rsidR="00141612" w:rsidRDefault="00000000">
      <w:pPr>
        <w:pStyle w:val="ListParagraph"/>
        <w:numPr>
          <w:ilvl w:val="0"/>
          <w:numId w:val="2"/>
        </w:numPr>
        <w:spacing w:before="40" w:after="40"/>
      </w:pPr>
      <w:r>
        <w:t>Monitoring EDI data and taking action where disparities are identified</w:t>
      </w:r>
    </w:p>
    <w:p w14:paraId="5BCBA051" w14:textId="77777777" w:rsidR="00141612" w:rsidRDefault="00000000">
      <w:pPr>
        <w:pStyle w:val="ListParagraph"/>
        <w:numPr>
          <w:ilvl w:val="0"/>
          <w:numId w:val="2"/>
        </w:numPr>
        <w:spacing w:before="40" w:after="40"/>
      </w:pPr>
      <w:r>
        <w:t>Reporting on EDI matters to the TLSPH Board of Directors as appropriate</w:t>
      </w:r>
    </w:p>
    <w:p w14:paraId="2DD21BC5" w14:textId="77777777" w:rsidR="00141612" w:rsidRDefault="00000000">
      <w:pPr>
        <w:spacing w:before="220" w:after="80"/>
      </w:pPr>
      <w:r>
        <w:rPr>
          <w:b/>
          <w:bCs/>
          <w:color w:val="2E75B6"/>
          <w:sz w:val="24"/>
          <w:szCs w:val="24"/>
        </w:rPr>
        <w:t>6.2 All Staff and Tutors</w:t>
      </w:r>
    </w:p>
    <w:p w14:paraId="70800DF5" w14:textId="77777777" w:rsidR="00141612" w:rsidRDefault="00000000">
      <w:pPr>
        <w:spacing w:before="60" w:after="100"/>
      </w:pPr>
      <w:r>
        <w:t>All staff and tutors are responsible for:</w:t>
      </w:r>
    </w:p>
    <w:p w14:paraId="7BA47573" w14:textId="77777777" w:rsidR="00141612" w:rsidRDefault="00000000">
      <w:pPr>
        <w:pStyle w:val="ListParagraph"/>
        <w:numPr>
          <w:ilvl w:val="0"/>
          <w:numId w:val="2"/>
        </w:numPr>
        <w:spacing w:before="40" w:after="40"/>
      </w:pPr>
      <w:r>
        <w:t>Treating all students, colleagues, and stakeholders with dignity and respect</w:t>
      </w:r>
    </w:p>
    <w:p w14:paraId="6F3AA9F2" w14:textId="77777777" w:rsidR="00141612" w:rsidRDefault="00000000">
      <w:pPr>
        <w:pStyle w:val="ListParagraph"/>
        <w:numPr>
          <w:ilvl w:val="0"/>
          <w:numId w:val="2"/>
        </w:numPr>
        <w:spacing w:before="40" w:after="40"/>
      </w:pPr>
      <w:r>
        <w:t>Completing EDI awareness training at induction and as required</w:t>
      </w:r>
    </w:p>
    <w:p w14:paraId="38969BC8" w14:textId="77777777" w:rsidR="00141612" w:rsidRDefault="00000000">
      <w:pPr>
        <w:pStyle w:val="ListParagraph"/>
        <w:numPr>
          <w:ilvl w:val="0"/>
          <w:numId w:val="2"/>
        </w:numPr>
        <w:spacing w:before="40" w:after="40"/>
      </w:pPr>
      <w:r>
        <w:t>Reporting any EDI concerns or incidents to the Senior Leadership Team promptly</w:t>
      </w:r>
    </w:p>
    <w:p w14:paraId="04E30CAB" w14:textId="77777777" w:rsidR="00141612" w:rsidRDefault="00000000">
      <w:pPr>
        <w:pStyle w:val="ListParagraph"/>
        <w:numPr>
          <w:ilvl w:val="0"/>
          <w:numId w:val="2"/>
        </w:numPr>
        <w:spacing w:before="40" w:after="40"/>
      </w:pPr>
      <w:r>
        <w:t>Embedding inclusive practice in their teaching, feedback, and communications</w:t>
      </w:r>
    </w:p>
    <w:p w14:paraId="1569BAC4" w14:textId="77777777" w:rsidR="00141612" w:rsidRDefault="00000000">
      <w:pPr>
        <w:pStyle w:val="ListParagraph"/>
        <w:numPr>
          <w:ilvl w:val="0"/>
          <w:numId w:val="2"/>
        </w:numPr>
        <w:spacing w:before="40" w:after="40"/>
      </w:pPr>
      <w:r>
        <w:t>Not engaging in, encouraging, or ignoring discriminatory behaviour</w:t>
      </w:r>
    </w:p>
    <w:p w14:paraId="142E9EFD" w14:textId="77777777" w:rsidR="00141612" w:rsidRDefault="00000000">
      <w:pPr>
        <w:spacing w:before="220" w:after="80"/>
      </w:pPr>
      <w:r>
        <w:rPr>
          <w:b/>
          <w:bCs/>
          <w:color w:val="2E75B6"/>
          <w:sz w:val="24"/>
          <w:szCs w:val="24"/>
        </w:rPr>
        <w:t>6.3 Students</w:t>
      </w:r>
    </w:p>
    <w:p w14:paraId="5B9602B6" w14:textId="77777777" w:rsidR="00141612" w:rsidRDefault="00000000">
      <w:pPr>
        <w:spacing w:before="60" w:after="100"/>
      </w:pPr>
      <w:r>
        <w:t>All students are responsible for:</w:t>
      </w:r>
    </w:p>
    <w:p w14:paraId="24F2DFCD" w14:textId="77777777" w:rsidR="00141612" w:rsidRDefault="00000000">
      <w:pPr>
        <w:pStyle w:val="ListParagraph"/>
        <w:numPr>
          <w:ilvl w:val="0"/>
          <w:numId w:val="2"/>
        </w:numPr>
        <w:spacing w:before="40" w:after="40"/>
      </w:pPr>
      <w:r>
        <w:t>Treating fellow students, staff, and tutors with dignity and respect</w:t>
      </w:r>
    </w:p>
    <w:p w14:paraId="14809397" w14:textId="77777777" w:rsidR="00141612" w:rsidRDefault="00000000">
      <w:pPr>
        <w:pStyle w:val="ListParagraph"/>
        <w:numPr>
          <w:ilvl w:val="0"/>
          <w:numId w:val="2"/>
        </w:numPr>
        <w:spacing w:before="40" w:after="40"/>
      </w:pPr>
      <w:r>
        <w:t>Refraining from any behaviour that constitutes discrimination, harassment, or bullying</w:t>
      </w:r>
    </w:p>
    <w:p w14:paraId="23AAD2B6" w14:textId="77777777" w:rsidR="00141612" w:rsidRDefault="00000000">
      <w:pPr>
        <w:pStyle w:val="ListParagraph"/>
        <w:numPr>
          <w:ilvl w:val="0"/>
          <w:numId w:val="2"/>
        </w:numPr>
        <w:spacing w:before="40" w:after="40"/>
      </w:pPr>
      <w:r>
        <w:t>Reporting EDI concerns through the appropriate channels (see Section 8)</w:t>
      </w:r>
    </w:p>
    <w:p w14:paraId="6B625533" w14:textId="77777777" w:rsidR="00141612" w:rsidRDefault="00141612">
      <w:pPr>
        <w:spacing w:after="80"/>
      </w:pPr>
    </w:p>
    <w:p w14:paraId="366B7180" w14:textId="77777777" w:rsidR="00141612" w:rsidRDefault="00000000">
      <w:pPr>
        <w:pBdr>
          <w:bottom w:val="single" w:sz="6" w:space="4" w:color="2E75B6"/>
        </w:pBdr>
        <w:spacing w:before="320" w:after="120"/>
      </w:pPr>
      <w:r>
        <w:rPr>
          <w:b/>
          <w:bCs/>
          <w:color w:val="1B3A6B"/>
          <w:sz w:val="28"/>
          <w:szCs w:val="28"/>
        </w:rPr>
        <w:t>7. Reasonable Adjustments</w:t>
      </w:r>
    </w:p>
    <w:p w14:paraId="52EE0B99" w14:textId="77777777" w:rsidR="00141612" w:rsidRDefault="00000000">
      <w:pPr>
        <w:spacing w:before="60" w:after="100"/>
      </w:pPr>
      <w:r>
        <w:t>Under section 20 of the Equality Act 2010, TLSPH has a duty to make reasonable adjustments for disabled students and staff where a provision, criterion, practice, or physical feature puts a disabled person at a substantial disadvantage compared to a non-disabled person.</w:t>
      </w:r>
    </w:p>
    <w:p w14:paraId="113FCD18" w14:textId="77777777" w:rsidR="00141612" w:rsidRDefault="00000000">
      <w:pPr>
        <w:spacing w:before="60" w:after="100"/>
      </w:pPr>
      <w:r>
        <w:t>Requests for reasonable adjustments should be made to the Senior Leadership Team at info@thelondonschoolofpublichealth.com. TLSPH will:</w:t>
      </w:r>
    </w:p>
    <w:p w14:paraId="57ABC365" w14:textId="77777777" w:rsidR="00141612" w:rsidRDefault="00000000">
      <w:pPr>
        <w:pStyle w:val="ListParagraph"/>
        <w:numPr>
          <w:ilvl w:val="0"/>
          <w:numId w:val="2"/>
        </w:numPr>
        <w:spacing w:before="40" w:after="40"/>
      </w:pPr>
      <w:r>
        <w:t>Consider all requests individually and in good faith</w:t>
      </w:r>
    </w:p>
    <w:p w14:paraId="7373E3F0" w14:textId="77777777" w:rsidR="00141612" w:rsidRDefault="00000000">
      <w:pPr>
        <w:pStyle w:val="ListParagraph"/>
        <w:numPr>
          <w:ilvl w:val="0"/>
          <w:numId w:val="2"/>
        </w:numPr>
        <w:spacing w:before="40" w:after="40"/>
      </w:pPr>
      <w:r>
        <w:t>Respond to requests within 10 working days</w:t>
      </w:r>
    </w:p>
    <w:p w14:paraId="3FFC5DC2" w14:textId="77777777" w:rsidR="00141612" w:rsidRDefault="00000000">
      <w:pPr>
        <w:pStyle w:val="ListParagraph"/>
        <w:numPr>
          <w:ilvl w:val="0"/>
          <w:numId w:val="2"/>
        </w:numPr>
        <w:spacing w:before="40" w:after="40"/>
      </w:pPr>
      <w:r>
        <w:t>Document agreed adjustments and review them as needed</w:t>
      </w:r>
    </w:p>
    <w:p w14:paraId="4FA5A0C9" w14:textId="77777777" w:rsidR="00141612" w:rsidRDefault="00000000">
      <w:pPr>
        <w:pStyle w:val="ListParagraph"/>
        <w:numPr>
          <w:ilvl w:val="0"/>
          <w:numId w:val="2"/>
        </w:numPr>
        <w:spacing w:before="40" w:after="40"/>
      </w:pPr>
      <w:r>
        <w:t>Apply adjustments to assessments in line with Ofqual requirements and awarding body guidance</w:t>
      </w:r>
    </w:p>
    <w:p w14:paraId="20161989" w14:textId="77777777" w:rsidR="00141612" w:rsidRDefault="00141612">
      <w:pPr>
        <w:spacing w:after="80"/>
      </w:pPr>
    </w:p>
    <w:p w14:paraId="0ADE606F" w14:textId="77777777" w:rsidR="00141612" w:rsidRDefault="00000000">
      <w:pPr>
        <w:spacing w:before="60" w:after="100"/>
      </w:pPr>
      <w:r>
        <w:t>Where a requested adjustment is not considered reasonable, TLSPH will explain the reasons in writing and, where possible, propose an alternative solution.</w:t>
      </w:r>
    </w:p>
    <w:p w14:paraId="102636A1" w14:textId="77777777" w:rsidR="00141612" w:rsidRDefault="00141612">
      <w:pPr>
        <w:spacing w:after="80"/>
      </w:pPr>
    </w:p>
    <w:p w14:paraId="250A69B9" w14:textId="77777777" w:rsidR="00141612" w:rsidRDefault="00000000">
      <w:pPr>
        <w:pBdr>
          <w:bottom w:val="single" w:sz="6" w:space="4" w:color="2E75B6"/>
        </w:pBdr>
        <w:spacing w:before="320" w:after="120"/>
      </w:pPr>
      <w:r>
        <w:rPr>
          <w:b/>
          <w:bCs/>
          <w:color w:val="1B3A6B"/>
          <w:sz w:val="28"/>
          <w:szCs w:val="28"/>
        </w:rPr>
        <w:t>8. Reporting an EDI Concern</w:t>
      </w:r>
    </w:p>
    <w:p w14:paraId="1B86B0A1" w14:textId="77777777" w:rsidR="00141612" w:rsidRDefault="00000000">
      <w:pPr>
        <w:spacing w:before="60" w:after="100"/>
      </w:pPr>
      <w:r>
        <w:t>Any student, member of staff, or associate who experiences or witnesses discrimination, harassment, or victimisation should report this as soon as possible using one of the following routes:</w:t>
      </w:r>
    </w:p>
    <w:p w14:paraId="1932E2D6" w14:textId="77777777" w:rsidR="00141612" w:rsidRDefault="00000000">
      <w:pPr>
        <w:pStyle w:val="ListParagraph"/>
        <w:numPr>
          <w:ilvl w:val="0"/>
          <w:numId w:val="2"/>
        </w:numPr>
        <w:spacing w:before="40" w:after="40"/>
      </w:pPr>
      <w:r>
        <w:t>In writing to info@thelondonschoolofpublichealth.com, marking the subject as 'EDI Concern'</w:t>
      </w:r>
    </w:p>
    <w:p w14:paraId="5034F71F" w14:textId="77777777" w:rsidR="00141612" w:rsidRDefault="00000000">
      <w:pPr>
        <w:pStyle w:val="ListParagraph"/>
        <w:numPr>
          <w:ilvl w:val="0"/>
          <w:numId w:val="2"/>
        </w:numPr>
        <w:spacing w:before="40" w:after="40"/>
      </w:pPr>
      <w:r>
        <w:t>Via the formal complaints process set out in the TLSPH Student Complaints &amp; Appeals Policy (TLSPH-POL-004)</w:t>
      </w:r>
    </w:p>
    <w:p w14:paraId="1AF92FC3" w14:textId="77777777" w:rsidR="00141612" w:rsidRDefault="00000000">
      <w:pPr>
        <w:pStyle w:val="ListParagraph"/>
        <w:numPr>
          <w:ilvl w:val="0"/>
          <w:numId w:val="2"/>
        </w:numPr>
        <w:spacing w:before="40" w:after="40"/>
      </w:pPr>
      <w:r>
        <w:t>If the concern involves a safeguarding element, via the Safeguarding Policy (TLSPH-POL-003)</w:t>
      </w:r>
    </w:p>
    <w:p w14:paraId="64AA1AF6" w14:textId="77777777" w:rsidR="00141612" w:rsidRDefault="00141612">
      <w:pPr>
        <w:spacing w:after="80"/>
      </w:pPr>
    </w:p>
    <w:p w14:paraId="6CD94860" w14:textId="77777777" w:rsidR="00141612" w:rsidRDefault="00000000">
      <w:pPr>
        <w:spacing w:before="60" w:after="100"/>
      </w:pPr>
      <w:r>
        <w:t>All reports will be taken seriously, handled confidentially, and investigated promptly. Raising an EDI concern will not result in any detriment to the person making the report. Malicious or vexatious reports may be subject to disciplinary action.</w:t>
      </w:r>
    </w:p>
    <w:p w14:paraId="66BA7220" w14:textId="77777777" w:rsidR="00141612" w:rsidRDefault="00000000">
      <w:pPr>
        <w:spacing w:before="60" w:after="100"/>
      </w:pPr>
      <w:r>
        <w:t>Where an EDI concern involves potential unlawful discrimination, students and staff may also contact the Equality and Human Rights Commission (EHRC) for guidance: www.equalityhumanrights.com | 0808 800 0082.</w:t>
      </w:r>
    </w:p>
    <w:p w14:paraId="19B91B28" w14:textId="77777777" w:rsidR="00141612" w:rsidRDefault="00141612">
      <w:pPr>
        <w:spacing w:after="80"/>
      </w:pPr>
    </w:p>
    <w:p w14:paraId="6D5385BA" w14:textId="77777777" w:rsidR="00141612" w:rsidRDefault="00000000">
      <w:pPr>
        <w:pBdr>
          <w:bottom w:val="single" w:sz="6" w:space="4" w:color="2E75B6"/>
        </w:pBdr>
        <w:spacing w:before="320" w:after="120"/>
      </w:pPr>
      <w:r>
        <w:rPr>
          <w:b/>
          <w:bCs/>
          <w:color w:val="1B3A6B"/>
          <w:sz w:val="28"/>
          <w:szCs w:val="28"/>
        </w:rPr>
        <w:t>9. Monitoring and Review</w:t>
      </w:r>
    </w:p>
    <w:p w14:paraId="383E1340" w14:textId="77777777" w:rsidR="00141612" w:rsidRDefault="00000000">
      <w:pPr>
        <w:spacing w:before="60" w:after="100"/>
      </w:pPr>
      <w:r>
        <w:t>TLSPH is committed to monitoring the effectiveness of this policy. The Senior Leadership Team will:</w:t>
      </w:r>
    </w:p>
    <w:p w14:paraId="407560A2" w14:textId="77777777" w:rsidR="00141612" w:rsidRDefault="00000000">
      <w:pPr>
        <w:pStyle w:val="ListParagraph"/>
        <w:numPr>
          <w:ilvl w:val="0"/>
          <w:numId w:val="2"/>
        </w:numPr>
        <w:spacing w:before="40" w:after="40"/>
      </w:pPr>
      <w:r>
        <w:t>Collect and review EDI-related data annually, including student enrolment, completion, and assessment outcomes, disaggregated by protected characteristic where lawful and practicable</w:t>
      </w:r>
    </w:p>
    <w:p w14:paraId="7208ED48" w14:textId="77777777" w:rsidR="00141612" w:rsidRDefault="00000000">
      <w:pPr>
        <w:pStyle w:val="ListParagraph"/>
        <w:numPr>
          <w:ilvl w:val="0"/>
          <w:numId w:val="2"/>
        </w:numPr>
        <w:spacing w:before="40" w:after="40"/>
      </w:pPr>
      <w:r>
        <w:t>Monitor the number and nature of EDI-related complaints and their outcomes</w:t>
      </w:r>
    </w:p>
    <w:p w14:paraId="5B83D977" w14:textId="77777777" w:rsidR="00141612" w:rsidRDefault="00000000">
      <w:pPr>
        <w:pStyle w:val="ListParagraph"/>
        <w:numPr>
          <w:ilvl w:val="0"/>
          <w:numId w:val="2"/>
        </w:numPr>
        <w:spacing w:before="40" w:after="40"/>
      </w:pPr>
      <w:r>
        <w:t>Review course materials and admissions processes for potential bias</w:t>
      </w:r>
    </w:p>
    <w:p w14:paraId="6C3AA33D" w14:textId="77777777" w:rsidR="00141612" w:rsidRDefault="00000000">
      <w:pPr>
        <w:pStyle w:val="ListParagraph"/>
        <w:numPr>
          <w:ilvl w:val="0"/>
          <w:numId w:val="2"/>
        </w:numPr>
        <w:spacing w:before="40" w:after="40"/>
      </w:pPr>
      <w:r>
        <w:t>Report findings internally and use them to drive continuous improvement</w:t>
      </w:r>
    </w:p>
    <w:p w14:paraId="2095426A" w14:textId="77777777" w:rsidR="00141612" w:rsidRDefault="00141612">
      <w:pPr>
        <w:spacing w:after="80"/>
      </w:pPr>
    </w:p>
    <w:p w14:paraId="19219BAD" w14:textId="77777777" w:rsidR="00141612" w:rsidRDefault="00000000">
      <w:pPr>
        <w:spacing w:before="60" w:after="100"/>
      </w:pPr>
      <w:r>
        <w:t>All personal data collected for EDI monitoring purposes will be processed in accordance with the UK General Data Protection Regulation (UK GDPR), the Data Protection Act 2018, and TLSPH's Data Protection Policy.</w:t>
      </w:r>
    </w:p>
    <w:p w14:paraId="395DF40B" w14:textId="77777777" w:rsidR="00141612" w:rsidRDefault="00141612">
      <w:pPr>
        <w:spacing w:after="80"/>
      </w:pPr>
    </w:p>
    <w:p w14:paraId="64682CAD" w14:textId="77777777" w:rsidR="00141612" w:rsidRDefault="00000000">
      <w:pPr>
        <w:pBdr>
          <w:bottom w:val="single" w:sz="6" w:space="4" w:color="2E75B6"/>
        </w:pBdr>
        <w:spacing w:before="320" w:after="120"/>
      </w:pPr>
      <w:r>
        <w:rPr>
          <w:b/>
          <w:bCs/>
          <w:color w:val="1B3A6B"/>
          <w:sz w:val="28"/>
          <w:szCs w:val="28"/>
        </w:rPr>
        <w:t>10. Related Policies</w:t>
      </w:r>
    </w:p>
    <w:p w14:paraId="0B86CB28" w14:textId="77777777" w:rsidR="00141612" w:rsidRDefault="00000000">
      <w:pPr>
        <w:pStyle w:val="ListParagraph"/>
        <w:numPr>
          <w:ilvl w:val="0"/>
          <w:numId w:val="2"/>
        </w:numPr>
        <w:spacing w:before="40" w:after="40"/>
      </w:pPr>
      <w:r>
        <w:t>Safeguarding Policy (TLSPH-POL-003)</w:t>
      </w:r>
    </w:p>
    <w:p w14:paraId="4D2C7CFF" w14:textId="77777777" w:rsidR="00141612" w:rsidRDefault="00000000">
      <w:pPr>
        <w:pStyle w:val="ListParagraph"/>
        <w:numPr>
          <w:ilvl w:val="0"/>
          <w:numId w:val="2"/>
        </w:numPr>
        <w:spacing w:before="40" w:after="40"/>
      </w:pPr>
      <w:r>
        <w:t>Student Complaints &amp; Appeals Policy (TLSPH-POL-004)</w:t>
      </w:r>
    </w:p>
    <w:p w14:paraId="3EC416B5" w14:textId="77777777" w:rsidR="00141612" w:rsidRDefault="00000000">
      <w:pPr>
        <w:pStyle w:val="ListParagraph"/>
        <w:numPr>
          <w:ilvl w:val="0"/>
          <w:numId w:val="2"/>
        </w:numPr>
        <w:spacing w:before="40" w:after="40"/>
      </w:pPr>
      <w:r>
        <w:t>Student Wellbeing &amp; Support Policy</w:t>
      </w:r>
    </w:p>
    <w:p w14:paraId="03A7EFF4" w14:textId="77777777" w:rsidR="00141612" w:rsidRDefault="00000000">
      <w:pPr>
        <w:pStyle w:val="ListParagraph"/>
        <w:numPr>
          <w:ilvl w:val="0"/>
          <w:numId w:val="2"/>
        </w:numPr>
        <w:spacing w:before="40" w:after="40"/>
      </w:pPr>
      <w:r>
        <w:t>Recruitment &amp; Selection Policy</w:t>
      </w:r>
    </w:p>
    <w:p w14:paraId="5CAD2115" w14:textId="77777777" w:rsidR="00141612" w:rsidRDefault="00000000">
      <w:pPr>
        <w:pStyle w:val="ListParagraph"/>
        <w:numPr>
          <w:ilvl w:val="0"/>
          <w:numId w:val="2"/>
        </w:numPr>
        <w:spacing w:before="40" w:after="40"/>
      </w:pPr>
      <w:r>
        <w:t>Data Protection Policy (UK GDPR)</w:t>
      </w:r>
    </w:p>
    <w:p w14:paraId="78DAFA5E" w14:textId="77777777" w:rsidR="00141612" w:rsidRDefault="00000000">
      <w:pPr>
        <w:pStyle w:val="ListParagraph"/>
        <w:numPr>
          <w:ilvl w:val="0"/>
          <w:numId w:val="2"/>
        </w:numPr>
        <w:spacing w:before="40" w:after="40"/>
      </w:pPr>
      <w:r>
        <w:t>Accessibility Statement</w:t>
      </w:r>
    </w:p>
    <w:p w14:paraId="03C3DCE4" w14:textId="77777777" w:rsidR="00141612" w:rsidRDefault="00000000">
      <w:pPr>
        <w:pStyle w:val="ListParagraph"/>
        <w:numPr>
          <w:ilvl w:val="0"/>
          <w:numId w:val="2"/>
        </w:numPr>
        <w:spacing w:before="40" w:after="40"/>
      </w:pPr>
      <w:r>
        <w:t>Anti-Bullying and Harassment Policy</w:t>
      </w:r>
    </w:p>
    <w:p w14:paraId="0BFDCA4F" w14:textId="77777777" w:rsidR="00141612" w:rsidRDefault="00141612">
      <w:pPr>
        <w:spacing w:after="80"/>
      </w:pPr>
    </w:p>
    <w:p w14:paraId="2246E403" w14:textId="77777777" w:rsidR="00141612" w:rsidRDefault="00000000">
      <w:pPr>
        <w:pBdr>
          <w:bottom w:val="single" w:sz="6" w:space="4" w:color="2E75B6"/>
        </w:pBdr>
        <w:spacing w:before="320" w:after="120"/>
      </w:pPr>
      <w:r>
        <w:rPr>
          <w:b/>
          <w:bCs/>
          <w:color w:val="1B3A6B"/>
          <w:sz w:val="28"/>
          <w:szCs w:val="28"/>
        </w:rPr>
        <w:t>11. Contact</w:t>
      </w:r>
    </w:p>
    <w:p w14:paraId="14A5FA1E" w14:textId="77777777" w:rsidR="00141612" w:rsidRDefault="00141612">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141612" w14:paraId="26E58738"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E791F20" w14:textId="77777777" w:rsidR="00141612" w:rsidRDefault="00000000">
            <w:r>
              <w:rPr>
                <w:b/>
                <w:bCs/>
                <w:color w:val="1B3A6B"/>
                <w:sz w:val="20"/>
                <w:szCs w:val="20"/>
              </w:rPr>
              <w:t>EDI Concerns</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47ABDA61" w14:textId="77777777" w:rsidR="00141612" w:rsidRDefault="00000000">
            <w:r>
              <w:rPr>
                <w:sz w:val="20"/>
                <w:szCs w:val="20"/>
              </w:rPr>
              <w:t>info@thelondonschoolofpublichealth.com (subject: EDI Concern)</w:t>
            </w:r>
          </w:p>
        </w:tc>
      </w:tr>
    </w:tbl>
    <w:p w14:paraId="4E8129DD" w14:textId="77777777" w:rsidR="00141612" w:rsidRDefault="00141612">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141612" w14:paraId="03026CC4"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C2FD7CE" w14:textId="77777777" w:rsidR="00141612" w:rsidRDefault="00000000">
            <w:r>
              <w:rPr>
                <w:b/>
                <w:bCs/>
                <w:color w:val="1B3A6B"/>
                <w:sz w:val="20"/>
                <w:szCs w:val="20"/>
              </w:rPr>
              <w:t>General Enquiries</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6276CF7A" w14:textId="77777777" w:rsidR="00141612" w:rsidRDefault="00000000">
            <w:r>
              <w:rPr>
                <w:sz w:val="20"/>
                <w:szCs w:val="20"/>
              </w:rPr>
              <w:t>info@thelondonschoolofpublichealth.com</w:t>
            </w:r>
          </w:p>
        </w:tc>
      </w:tr>
    </w:tbl>
    <w:p w14:paraId="0F134ED5" w14:textId="77777777" w:rsidR="00141612" w:rsidRDefault="00141612">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141612" w14:paraId="427ACDDA"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2C3FAA0" w14:textId="77777777" w:rsidR="00141612" w:rsidRDefault="00000000">
            <w:r>
              <w:rPr>
                <w:b/>
                <w:bCs/>
                <w:color w:val="1B3A6B"/>
                <w:sz w:val="20"/>
                <w:szCs w:val="20"/>
              </w:rPr>
              <w:t>Website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6372B446" w14:textId="77777777" w:rsidR="00141612" w:rsidRDefault="00000000">
            <w:r>
              <w:rPr>
                <w:sz w:val="20"/>
                <w:szCs w:val="20"/>
              </w:rPr>
              <w:t>www.thelondonschoolofpublichealth.com</w:t>
            </w:r>
          </w:p>
        </w:tc>
      </w:tr>
    </w:tbl>
    <w:p w14:paraId="7C37F7A9" w14:textId="77777777" w:rsidR="00141612" w:rsidRDefault="00141612">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141612" w14:paraId="36D3786A"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A251BF0" w14:textId="77777777" w:rsidR="00141612" w:rsidRDefault="00000000">
            <w:r>
              <w:rPr>
                <w:b/>
                <w:bCs/>
                <w:color w:val="1B3A6B"/>
                <w:sz w:val="20"/>
                <w:szCs w:val="20"/>
              </w:rPr>
              <w:t>EHRC</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4CAD7E4F" w14:textId="77777777" w:rsidR="00141612" w:rsidRDefault="00000000">
            <w:r>
              <w:rPr>
                <w:sz w:val="20"/>
                <w:szCs w:val="20"/>
              </w:rPr>
              <w:t>www.equalityhumanrights.com  |  0808 800 0082</w:t>
            </w:r>
          </w:p>
        </w:tc>
      </w:tr>
    </w:tbl>
    <w:p w14:paraId="69BF3A92" w14:textId="77777777" w:rsidR="00141612" w:rsidRDefault="00141612">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141612" w14:paraId="239EA397"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836D87D" w14:textId="77777777" w:rsidR="00141612" w:rsidRDefault="00000000">
            <w:proofErr w:type="spellStart"/>
            <w:r>
              <w:rPr>
                <w:b/>
                <w:bCs/>
                <w:color w:val="1B3A6B"/>
                <w:sz w:val="20"/>
                <w:szCs w:val="20"/>
              </w:rPr>
              <w:t>Acas</w:t>
            </w:r>
            <w:proofErr w:type="spellEnd"/>
            <w:r>
              <w:rPr>
                <w:b/>
                <w:bCs/>
                <w:color w:val="1B3A6B"/>
                <w:sz w:val="20"/>
                <w:szCs w:val="20"/>
              </w:rPr>
              <w:t xml:space="preserve"> (employment)</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1B1C315E" w14:textId="77777777" w:rsidR="00141612" w:rsidRDefault="00000000">
            <w:r>
              <w:rPr>
                <w:sz w:val="20"/>
                <w:szCs w:val="20"/>
              </w:rPr>
              <w:t>www.acas.org.uk  |  0300 123 1100</w:t>
            </w:r>
          </w:p>
        </w:tc>
      </w:tr>
    </w:tbl>
    <w:p w14:paraId="17F6936D" w14:textId="77777777" w:rsidR="00141612" w:rsidRDefault="00141612">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141612" w14:paraId="22193229"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9827F95" w14:textId="77777777" w:rsidR="00141612" w:rsidRDefault="00000000">
            <w:r>
              <w:rPr>
                <w:b/>
                <w:bCs/>
                <w:color w:val="1B3A6B"/>
                <w:sz w:val="20"/>
                <w:szCs w:val="20"/>
              </w:rPr>
              <w:t>Citizens Advice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4E655FCE" w14:textId="77777777" w:rsidR="00141612" w:rsidRDefault="00000000">
            <w:r>
              <w:rPr>
                <w:sz w:val="20"/>
                <w:szCs w:val="20"/>
              </w:rPr>
              <w:t>www.citizensadvice.org.uk  |  0800 144 8848</w:t>
            </w:r>
          </w:p>
        </w:tc>
      </w:tr>
    </w:tbl>
    <w:p w14:paraId="3BA61DF2" w14:textId="77777777" w:rsidR="00141612" w:rsidRDefault="00141612">
      <w:pPr>
        <w:spacing w:after="80"/>
      </w:pPr>
    </w:p>
    <w:p w14:paraId="6ED79897" w14:textId="77777777" w:rsidR="00141612" w:rsidRDefault="00141612">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41612" w14:paraId="3CA2826A"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120" w:type="dxa"/>
              <w:left w:w="200" w:type="dxa"/>
              <w:bottom w:w="120" w:type="dxa"/>
              <w:right w:w="200" w:type="dxa"/>
            </w:tcMar>
          </w:tcPr>
          <w:p w14:paraId="6005C43A" w14:textId="77777777" w:rsidR="00141612" w:rsidRDefault="00000000">
            <w:pPr>
              <w:spacing w:before="40" w:after="40"/>
            </w:pPr>
            <w:r>
              <w:rPr>
                <w:b/>
                <w:bCs/>
                <w:color w:val="1B3A6B"/>
                <w:sz w:val="20"/>
                <w:szCs w:val="20"/>
              </w:rPr>
              <w:t>Policy Review</w:t>
            </w:r>
          </w:p>
          <w:p w14:paraId="5845CA26" w14:textId="77777777" w:rsidR="00141612" w:rsidRDefault="00000000">
            <w:pPr>
              <w:spacing w:before="20" w:after="20"/>
            </w:pPr>
            <w:r>
              <w:rPr>
                <w:sz w:val="19"/>
                <w:szCs w:val="19"/>
              </w:rPr>
              <w:t>This policy is reviewed annually by the Senior Leadership Team to ensure it remains fully compliant with the Equality Act 2010, the Human Rights Act 1998, Ofqual General Conditions of Recognition, EHRC statutory codes of practice, and any other applicable UK legislation or regulatory guidance. Any material changes will be communicated to all staff and students.</w:t>
            </w:r>
          </w:p>
          <w:p w14:paraId="0868EEEC" w14:textId="77777777" w:rsidR="00141612" w:rsidRDefault="00000000">
            <w:pPr>
              <w:spacing w:before="20" w:after="40"/>
            </w:pPr>
            <w:r>
              <w:rPr>
                <w:i/>
                <w:iCs/>
                <w:color w:val="555555"/>
                <w:sz w:val="19"/>
                <w:szCs w:val="19"/>
              </w:rPr>
              <w:t>Last Reviewed: October 2025   |   Next Review Due: October 2026   |   Version: 1.0</w:t>
            </w:r>
          </w:p>
        </w:tc>
      </w:tr>
    </w:tbl>
    <w:p w14:paraId="4171FC91" w14:textId="77777777" w:rsidR="001964A3" w:rsidRDefault="001964A3"/>
    <w:sectPr w:rsidR="001964A3">
      <w:headerReference w:type="default" r:id="rId7"/>
      <w:footerReference w:type="default" r:id="rId8"/>
      <w:pgSz w:w="11906" w:h="16838"/>
      <w:pgMar w:top="10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732D6" w14:textId="77777777" w:rsidR="001964A3" w:rsidRDefault="001964A3">
      <w:r>
        <w:separator/>
      </w:r>
    </w:p>
  </w:endnote>
  <w:endnote w:type="continuationSeparator" w:id="0">
    <w:p w14:paraId="44251780" w14:textId="77777777" w:rsidR="001964A3" w:rsidRDefault="0019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6710" w14:textId="77777777" w:rsidR="00141612" w:rsidRDefault="00000000">
    <w:pPr>
      <w:pBdr>
        <w:top w:val="single" w:sz="4" w:space="4" w:color="2E75B6"/>
      </w:pBdr>
      <w:spacing w:before="80"/>
    </w:pPr>
    <w:r>
      <w:rPr>
        <w:color w:val="888888"/>
        <w:sz w:val="16"/>
        <w:szCs w:val="16"/>
      </w:rPr>
      <w:t>Equality, Diversity &amp; Inclusion Policy  |  TLSPH LTD  |  www.thelondonschoolofpublichealth.com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76596" w14:textId="77777777" w:rsidR="001964A3" w:rsidRDefault="001964A3">
      <w:r>
        <w:separator/>
      </w:r>
    </w:p>
  </w:footnote>
  <w:footnote w:type="continuationSeparator" w:id="0">
    <w:p w14:paraId="37C90FA9" w14:textId="77777777" w:rsidR="001964A3" w:rsidRDefault="00196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5034" w14:textId="77777777" w:rsidR="00141612" w:rsidRDefault="00000000">
    <w:pPr>
      <w:pBdr>
        <w:bottom w:val="single" w:sz="6" w:space="6" w:color="2E75B6"/>
      </w:pBdr>
    </w:pPr>
    <w:r>
      <w:rPr>
        <w:noProof/>
      </w:rPr>
      <w:drawing>
        <wp:inline distT="0" distB="0" distL="0" distR="0" wp14:anchorId="74394029" wp14:editId="535F69F7">
          <wp:extent cx="762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762000"/>
                  </a:xfrm>
                  <a:prstGeom prst="rect">
                    <a:avLst/>
                  </a:prstGeom>
                </pic:spPr>
              </pic:pic>
            </a:graphicData>
          </a:graphic>
        </wp:inline>
      </w:drawing>
    </w:r>
    <w:r>
      <w:rPr>
        <w:b/>
        <w:bCs/>
        <w:color w:val="1B3A6B"/>
        <w:sz w:val="26"/>
        <w:szCs w:val="26"/>
      </w:rPr>
      <w:t xml:space="preserve">   The London School of Public 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42CEB"/>
    <w:multiLevelType w:val="hybridMultilevel"/>
    <w:tmpl w:val="F0BAC860"/>
    <w:lvl w:ilvl="0" w:tplc="C0621686">
      <w:start w:val="1"/>
      <w:numFmt w:val="decimal"/>
      <w:lvlText w:val="%1."/>
      <w:lvlJc w:val="left"/>
      <w:pPr>
        <w:ind w:left="720" w:hanging="360"/>
      </w:pPr>
    </w:lvl>
    <w:lvl w:ilvl="1" w:tplc="98D0DA08">
      <w:numFmt w:val="decimal"/>
      <w:lvlText w:val=""/>
      <w:lvlJc w:val="left"/>
    </w:lvl>
    <w:lvl w:ilvl="2" w:tplc="002E5350">
      <w:numFmt w:val="decimal"/>
      <w:lvlText w:val=""/>
      <w:lvlJc w:val="left"/>
    </w:lvl>
    <w:lvl w:ilvl="3" w:tplc="9012ABDE">
      <w:numFmt w:val="decimal"/>
      <w:lvlText w:val=""/>
      <w:lvlJc w:val="left"/>
    </w:lvl>
    <w:lvl w:ilvl="4" w:tplc="D9866A72">
      <w:numFmt w:val="decimal"/>
      <w:lvlText w:val=""/>
      <w:lvlJc w:val="left"/>
    </w:lvl>
    <w:lvl w:ilvl="5" w:tplc="07B4CB20">
      <w:numFmt w:val="decimal"/>
      <w:lvlText w:val=""/>
      <w:lvlJc w:val="left"/>
    </w:lvl>
    <w:lvl w:ilvl="6" w:tplc="48EE6ABE">
      <w:numFmt w:val="decimal"/>
      <w:lvlText w:val=""/>
      <w:lvlJc w:val="left"/>
    </w:lvl>
    <w:lvl w:ilvl="7" w:tplc="76503F10">
      <w:numFmt w:val="decimal"/>
      <w:lvlText w:val=""/>
      <w:lvlJc w:val="left"/>
    </w:lvl>
    <w:lvl w:ilvl="8" w:tplc="9ECEF1AE">
      <w:numFmt w:val="decimal"/>
      <w:lvlText w:val=""/>
      <w:lvlJc w:val="left"/>
    </w:lvl>
  </w:abstractNum>
  <w:abstractNum w:abstractNumId="1" w15:restartNumberingAfterBreak="0">
    <w:nsid w:val="6AAA4FB8"/>
    <w:multiLevelType w:val="hybridMultilevel"/>
    <w:tmpl w:val="1ACEDA24"/>
    <w:lvl w:ilvl="0" w:tplc="10585C90">
      <w:start w:val="1"/>
      <w:numFmt w:val="bullet"/>
      <w:lvlText w:val="•"/>
      <w:lvlJc w:val="left"/>
      <w:pPr>
        <w:ind w:left="720" w:hanging="360"/>
      </w:pPr>
    </w:lvl>
    <w:lvl w:ilvl="1" w:tplc="958CC48E">
      <w:numFmt w:val="decimal"/>
      <w:lvlText w:val=""/>
      <w:lvlJc w:val="left"/>
    </w:lvl>
    <w:lvl w:ilvl="2" w:tplc="0EE6DFC8">
      <w:numFmt w:val="decimal"/>
      <w:lvlText w:val=""/>
      <w:lvlJc w:val="left"/>
    </w:lvl>
    <w:lvl w:ilvl="3" w:tplc="A5368640">
      <w:numFmt w:val="decimal"/>
      <w:lvlText w:val=""/>
      <w:lvlJc w:val="left"/>
    </w:lvl>
    <w:lvl w:ilvl="4" w:tplc="E47CEE84">
      <w:numFmt w:val="decimal"/>
      <w:lvlText w:val=""/>
      <w:lvlJc w:val="left"/>
    </w:lvl>
    <w:lvl w:ilvl="5" w:tplc="F9082998">
      <w:numFmt w:val="decimal"/>
      <w:lvlText w:val=""/>
      <w:lvlJc w:val="left"/>
    </w:lvl>
    <w:lvl w:ilvl="6" w:tplc="2EC47C4E">
      <w:numFmt w:val="decimal"/>
      <w:lvlText w:val=""/>
      <w:lvlJc w:val="left"/>
    </w:lvl>
    <w:lvl w:ilvl="7" w:tplc="37342238">
      <w:numFmt w:val="decimal"/>
      <w:lvlText w:val=""/>
      <w:lvlJc w:val="left"/>
    </w:lvl>
    <w:lvl w:ilvl="8" w:tplc="1E089C46">
      <w:numFmt w:val="decimal"/>
      <w:lvlText w:val=""/>
      <w:lvlJc w:val="left"/>
    </w:lvl>
  </w:abstractNum>
  <w:abstractNum w:abstractNumId="2" w15:restartNumberingAfterBreak="0">
    <w:nsid w:val="6F32167F"/>
    <w:multiLevelType w:val="hybridMultilevel"/>
    <w:tmpl w:val="6A606126"/>
    <w:lvl w:ilvl="0" w:tplc="46860C86">
      <w:start w:val="1"/>
      <w:numFmt w:val="bullet"/>
      <w:lvlText w:val="●"/>
      <w:lvlJc w:val="left"/>
      <w:pPr>
        <w:ind w:left="720" w:hanging="360"/>
      </w:pPr>
    </w:lvl>
    <w:lvl w:ilvl="1" w:tplc="F51CF1F8">
      <w:start w:val="1"/>
      <w:numFmt w:val="bullet"/>
      <w:lvlText w:val="○"/>
      <w:lvlJc w:val="left"/>
      <w:pPr>
        <w:ind w:left="1440" w:hanging="360"/>
      </w:pPr>
    </w:lvl>
    <w:lvl w:ilvl="2" w:tplc="7048DA68">
      <w:start w:val="1"/>
      <w:numFmt w:val="bullet"/>
      <w:lvlText w:val="■"/>
      <w:lvlJc w:val="left"/>
      <w:pPr>
        <w:ind w:left="2160" w:hanging="360"/>
      </w:pPr>
    </w:lvl>
    <w:lvl w:ilvl="3" w:tplc="7F7E83F0">
      <w:start w:val="1"/>
      <w:numFmt w:val="bullet"/>
      <w:lvlText w:val="●"/>
      <w:lvlJc w:val="left"/>
      <w:pPr>
        <w:ind w:left="2880" w:hanging="360"/>
      </w:pPr>
    </w:lvl>
    <w:lvl w:ilvl="4" w:tplc="2A845774">
      <w:start w:val="1"/>
      <w:numFmt w:val="bullet"/>
      <w:lvlText w:val="○"/>
      <w:lvlJc w:val="left"/>
      <w:pPr>
        <w:ind w:left="3600" w:hanging="360"/>
      </w:pPr>
    </w:lvl>
    <w:lvl w:ilvl="5" w:tplc="5E6A67B4">
      <w:start w:val="1"/>
      <w:numFmt w:val="bullet"/>
      <w:lvlText w:val="■"/>
      <w:lvlJc w:val="left"/>
      <w:pPr>
        <w:ind w:left="4320" w:hanging="360"/>
      </w:pPr>
    </w:lvl>
    <w:lvl w:ilvl="6" w:tplc="D1346C50">
      <w:start w:val="1"/>
      <w:numFmt w:val="bullet"/>
      <w:lvlText w:val="●"/>
      <w:lvlJc w:val="left"/>
      <w:pPr>
        <w:ind w:left="5040" w:hanging="360"/>
      </w:pPr>
    </w:lvl>
    <w:lvl w:ilvl="7" w:tplc="CF20AE62">
      <w:start w:val="1"/>
      <w:numFmt w:val="bullet"/>
      <w:lvlText w:val="●"/>
      <w:lvlJc w:val="left"/>
      <w:pPr>
        <w:ind w:left="5760" w:hanging="360"/>
      </w:pPr>
    </w:lvl>
    <w:lvl w:ilvl="8" w:tplc="5CF6A1AA">
      <w:start w:val="1"/>
      <w:numFmt w:val="bullet"/>
      <w:lvlText w:val="●"/>
      <w:lvlJc w:val="left"/>
      <w:pPr>
        <w:ind w:left="6480" w:hanging="360"/>
      </w:pPr>
    </w:lvl>
  </w:abstractNum>
  <w:num w:numId="1" w16cid:durableId="754666874">
    <w:abstractNumId w:val="2"/>
    <w:lvlOverride w:ilvl="0">
      <w:startOverride w:val="1"/>
    </w:lvlOverride>
  </w:num>
  <w:num w:numId="2" w16cid:durableId="120652776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612"/>
    <w:rsid w:val="00141612"/>
    <w:rsid w:val="001964A3"/>
    <w:rsid w:val="00F27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E64566"/>
  <w15:docId w15:val="{8382D012-F72F-034D-B6F4-CD93FF71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2142</Words>
  <Characters>12211</Characters>
  <Application>Microsoft Office Word</Application>
  <DocSecurity>0</DocSecurity>
  <Lines>101</Lines>
  <Paragraphs>28</Paragraphs>
  <ScaleCrop>false</ScaleCrop>
  <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Amina Dilmohamed</cp:lastModifiedBy>
  <cp:revision>2</cp:revision>
  <dcterms:created xsi:type="dcterms:W3CDTF">2026-05-11T15:05:00Z</dcterms:created>
  <dcterms:modified xsi:type="dcterms:W3CDTF">2026-05-11T15:05:00Z</dcterms:modified>
</cp:coreProperties>
</file>