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t xml:space="preserve"/>
      </w:r>
    </w:p>
    <w:p>
      <w:pPr>
        <w:spacing w:after="40" w:before="80"/>
      </w:pPr>
      <w:r>
        <w:rPr>
          <w:rFonts w:ascii="Arial" w:cs="Arial" w:eastAsia="Arial" w:hAnsi="Arial"/>
          <w:b/>
          <w:bCs/>
          <w:color w:val="1B3A6B"/>
          <w:sz w:val="52"/>
          <w:szCs w:val="52"/>
        </w:rPr>
        <w:t xml:space="preserve">Fees, Payment &amp; Refund Policy</w:t>
      </w:r>
    </w:p>
    <w:p>
      <w:pPr>
        <w:pBdr>
          <w:bottom w:val="single" w:color="2E75B6" w:sz="8" w:space="4"/>
        </w:pBdr>
        <w:spacing w:after="200" w:before="0"/>
      </w:pPr>
      <w:r>
        <w:rPr>
          <w:rFonts w:ascii="Arial" w:cs="Arial" w:eastAsia="Arial" w:hAnsi="Arial"/>
          <w:color w:val="555555"/>
          <w:sz w:val="22"/>
          <w:szCs w:val="22"/>
        </w:rPr>
        <w:t xml:space="preserve">TLSPH LTD  |  The London School of Public Health</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Policy Reference</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TLSPH-POL-002</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Version</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1.0</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Date Issued</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January 2026</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Next Review Date</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January 2027</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Policy Owner</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Senior Leadership Team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Applies To</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All students enrolling on TLSPH LTD courses</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Regulatory Framework</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Consumer Contracts Regulations 2013 | Consumer Rights Act 2015 | UK GDPR</w:t>
            </w:r>
          </w:p>
        </w:tc>
      </w:tr>
    </w:tbl>
    <w:p>
      <w:pPr>
        <w:spacing w:after="80" w:before="0"/>
      </w:pPr>
      <w:r>
        <w:t xml:space="preserve"/>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 Introduction</w:t>
      </w:r>
    </w:p>
    <w:p>
      <w:pPr>
        <w:spacing w:after="100" w:before="60"/>
      </w:pPr>
      <w:r>
        <w:rPr>
          <w:rFonts w:ascii="Arial" w:cs="Arial" w:eastAsia="Arial" w:hAnsi="Arial"/>
          <w:sz w:val="22"/>
          <w:szCs w:val="22"/>
        </w:rPr>
        <w:t xml:space="preserve">This policy sets out the fees, payment arrangements, and refund terms that apply to all students enrolling on courses offered by TLSPH LTD, trading as The London School of Public Health (referred to in this policy as "TLSPH", "we", "us" or "our").</w:t>
      </w:r>
    </w:p>
    <w:p>
      <w:pPr>
        <w:spacing w:after="100" w:before="60"/>
      </w:pPr>
      <w:r>
        <w:rPr>
          <w:rFonts w:ascii="Arial" w:cs="Arial" w:eastAsia="Arial" w:hAnsi="Arial"/>
          <w:sz w:val="22"/>
          <w:szCs w:val="22"/>
        </w:rPr>
        <w:t xml:space="preserve">We are committed to being transparent about our fees and financial obligations, and to acting fairly and in compliance with applicable consumer protection legislation, including the Consumer Contracts Regulations 2013 and the Consumer Rights Act 2015.</w:t>
      </w:r>
    </w:p>
    <w:p>
      <w:pPr>
        <w:spacing w:after="100" w:before="60"/>
      </w:pPr>
      <w:r>
        <w:rPr>
          <w:rFonts w:ascii="Arial" w:cs="Arial" w:eastAsia="Arial" w:hAnsi="Arial"/>
          <w:sz w:val="22"/>
          <w:szCs w:val="22"/>
        </w:rPr>
        <w:t xml:space="preserve">By enrolling on a course with TLSPH, you agree to the terms of this policy. Please read it carefully before completing your enrolment.</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2. Course Fees</w:t>
      </w:r>
    </w:p>
    <w:p>
      <w:pPr>
        <w:spacing w:after="80" w:before="220"/>
      </w:pPr>
      <w:r>
        <w:rPr>
          <w:rFonts w:ascii="Arial" w:cs="Arial" w:eastAsia="Arial" w:hAnsi="Arial"/>
          <w:b/>
          <w:bCs/>
          <w:color w:val="2E75B6"/>
          <w:sz w:val="24"/>
          <w:szCs w:val="24"/>
        </w:rPr>
        <w:t xml:space="preserve">2.1 Fee Structure</w:t>
      </w:r>
    </w:p>
    <w:p>
      <w:pPr>
        <w:spacing w:after="100" w:before="60"/>
      </w:pPr>
      <w:r>
        <w:rPr>
          <w:rFonts w:ascii="Arial" w:cs="Arial" w:eastAsia="Arial" w:hAnsi="Arial"/>
          <w:sz w:val="22"/>
          <w:szCs w:val="22"/>
        </w:rPr>
        <w:t xml:space="preserve">Course fees are published on the TLSPH website at www.thelondonschoolofpublichealth.com. All fees are stated in pounds sterling (GBP) and include VAT where applicable.</w:t>
      </w:r>
    </w:p>
    <w:p>
      <w:pPr>
        <w:spacing w:after="100" w:before="60"/>
      </w:pPr>
      <w:r>
        <w:rPr>
          <w:rFonts w:ascii="Arial" w:cs="Arial" w:eastAsia="Arial" w:hAnsi="Arial"/>
          <w:sz w:val="22"/>
          <w:szCs w:val="22"/>
        </w:rPr>
        <w:t xml:space="preserve">Current course fees include, but are not limited to:</w:t>
      </w:r>
    </w:p>
    <w:p>
      <w:pPr>
        <w:pStyle w:val="ListParagraph"/>
        <w:numPr>
          <w:ilvl w:val="0"/>
          <w:numId w:val="2"/>
        </w:numPr>
        <w:spacing w:after="40" w:before="40"/>
      </w:pPr>
      <w:r>
        <w:rPr>
          <w:rFonts w:ascii="Arial" w:cs="Arial" w:eastAsia="Arial" w:hAnsi="Arial"/>
          <w:sz w:val="22"/>
          <w:szCs w:val="22"/>
        </w:rPr>
        <w:t xml:space="preserve">Health &amp; Social Care Extended Diploma (NCFE/CACHE Level 3) — from £1,500</w:t>
      </w:r>
    </w:p>
    <w:p>
      <w:pPr>
        <w:pStyle w:val="ListParagraph"/>
        <w:numPr>
          <w:ilvl w:val="0"/>
          <w:numId w:val="2"/>
        </w:numPr>
        <w:spacing w:after="40" w:before="40"/>
      </w:pPr>
      <w:r>
        <w:rPr>
          <w:rFonts w:ascii="Arial" w:cs="Arial" w:eastAsia="Arial" w:hAnsi="Arial"/>
          <w:sz w:val="22"/>
          <w:szCs w:val="22"/>
        </w:rPr>
        <w:t xml:space="preserve">Community Development Programme — from £1,200</w:t>
      </w:r>
    </w:p>
    <w:p>
      <w:pPr>
        <w:pStyle w:val="ListParagraph"/>
        <w:numPr>
          <w:ilvl w:val="0"/>
          <w:numId w:val="2"/>
        </w:numPr>
        <w:spacing w:after="40" w:before="40"/>
      </w:pPr>
      <w:r>
        <w:rPr>
          <w:rFonts w:ascii="Arial" w:cs="Arial" w:eastAsia="Arial" w:hAnsi="Arial"/>
          <w:sz w:val="22"/>
          <w:szCs w:val="22"/>
        </w:rPr>
        <w:t xml:space="preserve">Access to HE Diploma in Nursing &amp; Midwifery — from £1,500</w:t>
      </w:r>
    </w:p>
    <w:p>
      <w:pPr>
        <w:spacing w:after="100" w:before="60"/>
      </w:pPr>
      <w:r>
        <w:rPr>
          <w:rFonts w:ascii="Arial" w:cs="Arial" w:eastAsia="Arial" w:hAnsi="Arial"/>
          <w:sz w:val="22"/>
          <w:szCs w:val="22"/>
        </w:rPr>
        <w:t xml:space="preserve">Fees for other programmes are detailed on the relevant course pages. TLSPH reserves the right to update fees at any time. Any changes will not affect students who have already enrolled and paid.</w:t>
      </w:r>
    </w:p>
    <w:p>
      <w:pPr>
        <w:spacing w:after="80" w:before="220"/>
      </w:pPr>
      <w:r>
        <w:rPr>
          <w:rFonts w:ascii="Arial" w:cs="Arial" w:eastAsia="Arial" w:hAnsi="Arial"/>
          <w:b/>
          <w:bCs/>
          <w:color w:val="2E75B6"/>
          <w:sz w:val="24"/>
          <w:szCs w:val="24"/>
        </w:rPr>
        <w:t xml:space="preserve">2.2 What Is Included in the Fee</w:t>
      </w:r>
    </w:p>
    <w:p>
      <w:pPr>
        <w:spacing w:after="100" w:before="60"/>
      </w:pPr>
      <w:r>
        <w:rPr>
          <w:rFonts w:ascii="Arial" w:cs="Arial" w:eastAsia="Arial" w:hAnsi="Arial"/>
          <w:sz w:val="22"/>
          <w:szCs w:val="22"/>
        </w:rPr>
        <w:t xml:space="preserve">Unless otherwise stated, course fees include:</w:t>
      </w:r>
    </w:p>
    <w:p>
      <w:pPr>
        <w:pStyle w:val="ListParagraph"/>
        <w:numPr>
          <w:ilvl w:val="0"/>
          <w:numId w:val="2"/>
        </w:numPr>
        <w:spacing w:after="40" w:before="40"/>
      </w:pPr>
      <w:r>
        <w:rPr>
          <w:rFonts w:ascii="Arial" w:cs="Arial" w:eastAsia="Arial" w:hAnsi="Arial"/>
          <w:sz w:val="22"/>
          <w:szCs w:val="22"/>
        </w:rPr>
        <w:t xml:space="preserve">Access to all online learning materials for the duration of the course</w:t>
      </w:r>
    </w:p>
    <w:p>
      <w:pPr>
        <w:pStyle w:val="ListParagraph"/>
        <w:numPr>
          <w:ilvl w:val="0"/>
          <w:numId w:val="2"/>
        </w:numPr>
        <w:spacing w:after="40" w:before="40"/>
      </w:pPr>
      <w:r>
        <w:rPr>
          <w:rFonts w:ascii="Arial" w:cs="Arial" w:eastAsia="Arial" w:hAnsi="Arial"/>
          <w:sz w:val="22"/>
          <w:szCs w:val="22"/>
        </w:rPr>
        <w:t xml:space="preserve">Tutor support and feedback</w:t>
      </w:r>
    </w:p>
    <w:p>
      <w:pPr>
        <w:pStyle w:val="ListParagraph"/>
        <w:numPr>
          <w:ilvl w:val="0"/>
          <w:numId w:val="2"/>
        </w:numPr>
        <w:spacing w:after="40" w:before="40"/>
      </w:pPr>
      <w:r>
        <w:rPr>
          <w:rFonts w:ascii="Arial" w:cs="Arial" w:eastAsia="Arial" w:hAnsi="Arial"/>
          <w:sz w:val="22"/>
          <w:szCs w:val="22"/>
        </w:rPr>
        <w:t xml:space="preserve">Access to The TLSPH Library resources</w:t>
      </w:r>
    </w:p>
    <w:p>
      <w:pPr>
        <w:pStyle w:val="ListParagraph"/>
        <w:numPr>
          <w:ilvl w:val="0"/>
          <w:numId w:val="2"/>
        </w:numPr>
        <w:spacing w:after="40" w:before="40"/>
      </w:pPr>
      <w:r>
        <w:rPr>
          <w:rFonts w:ascii="Arial" w:cs="Arial" w:eastAsia="Arial" w:hAnsi="Arial"/>
          <w:sz w:val="22"/>
          <w:szCs w:val="22"/>
        </w:rPr>
        <w:t xml:space="preserve">Assessment submissions and marking</w:t>
      </w:r>
    </w:p>
    <w:p>
      <w:pPr>
        <w:pStyle w:val="ListParagraph"/>
        <w:numPr>
          <w:ilvl w:val="0"/>
          <w:numId w:val="2"/>
        </w:numPr>
        <w:spacing w:after="40" w:before="40"/>
      </w:pPr>
      <w:r>
        <w:rPr>
          <w:rFonts w:ascii="Arial" w:cs="Arial" w:eastAsia="Arial" w:hAnsi="Arial"/>
          <w:sz w:val="22"/>
          <w:szCs w:val="22"/>
        </w:rPr>
        <w:t xml:space="preserve">A certificate of completion upon successful completion of the course</w:t>
      </w:r>
    </w:p>
    <w:p>
      <w:pPr>
        <w:spacing w:after="80" w:before="0"/>
      </w:pPr>
      <w:r>
        <w:t xml:space="preserve"/>
      </w:r>
    </w:p>
    <w:p>
      <w:pPr>
        <w:spacing w:after="100" w:before="60"/>
      </w:pPr>
      <w:r>
        <w:rPr>
          <w:rFonts w:ascii="Arial" w:cs="Arial" w:eastAsia="Arial" w:hAnsi="Arial"/>
          <w:sz w:val="22"/>
          <w:szCs w:val="22"/>
        </w:rPr>
        <w:t xml:space="preserve">Course fees do not include:</w:t>
      </w:r>
    </w:p>
    <w:p>
      <w:pPr>
        <w:pStyle w:val="ListParagraph"/>
        <w:numPr>
          <w:ilvl w:val="0"/>
          <w:numId w:val="2"/>
        </w:numPr>
        <w:spacing w:after="40" w:before="40"/>
      </w:pPr>
      <w:r>
        <w:rPr>
          <w:rFonts w:ascii="Arial" w:cs="Arial" w:eastAsia="Arial" w:hAnsi="Arial"/>
          <w:sz w:val="22"/>
          <w:szCs w:val="22"/>
        </w:rPr>
        <w:t xml:space="preserve">Any external examination fees payable to awarding bodies (e.g. NCFE, ABMA)</w:t>
      </w:r>
    </w:p>
    <w:p>
      <w:pPr>
        <w:pStyle w:val="ListParagraph"/>
        <w:numPr>
          <w:ilvl w:val="0"/>
          <w:numId w:val="2"/>
        </w:numPr>
        <w:spacing w:after="40" w:before="40"/>
      </w:pPr>
      <w:r>
        <w:rPr>
          <w:rFonts w:ascii="Arial" w:cs="Arial" w:eastAsia="Arial" w:hAnsi="Arial"/>
          <w:sz w:val="22"/>
          <w:szCs w:val="22"/>
        </w:rPr>
        <w:t xml:space="preserve">Costs of any required textbooks or supplementary materials not listed as included</w:t>
      </w:r>
    </w:p>
    <w:p>
      <w:pPr>
        <w:pStyle w:val="ListParagraph"/>
        <w:numPr>
          <w:ilvl w:val="0"/>
          <w:numId w:val="2"/>
        </w:numPr>
        <w:spacing w:after="40" w:before="40"/>
      </w:pPr>
      <w:r>
        <w:rPr>
          <w:rFonts w:ascii="Arial" w:cs="Arial" w:eastAsia="Arial" w:hAnsi="Arial"/>
          <w:sz w:val="22"/>
          <w:szCs w:val="22"/>
        </w:rPr>
        <w:t xml:space="preserve">Resit fees where applicable</w:t>
      </w:r>
    </w:p>
    <w:p>
      <w:pPr>
        <w:spacing w:after="80" w:before="220"/>
      </w:pPr>
      <w:r>
        <w:rPr>
          <w:rFonts w:ascii="Arial" w:cs="Arial" w:eastAsia="Arial" w:hAnsi="Arial"/>
          <w:b/>
          <w:bCs/>
          <w:color w:val="2E75B6"/>
          <w:sz w:val="24"/>
          <w:szCs w:val="24"/>
        </w:rPr>
        <w:t xml:space="preserve">2.3 Fee Changes</w:t>
      </w:r>
    </w:p>
    <w:p>
      <w:pPr>
        <w:spacing w:after="100" w:before="60"/>
      </w:pPr>
      <w:r>
        <w:rPr>
          <w:rFonts w:ascii="Arial" w:cs="Arial" w:eastAsia="Arial" w:hAnsi="Arial"/>
          <w:sz w:val="22"/>
          <w:szCs w:val="22"/>
        </w:rPr>
        <w:t xml:space="preserve">TLSPH reviews its course fees annually. Students who have already enrolled and paid will not be subject to fee increases during their registered course period.</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3. Payment</w:t>
      </w:r>
    </w:p>
    <w:p>
      <w:pPr>
        <w:spacing w:after="80" w:before="220"/>
      </w:pPr>
      <w:r>
        <w:rPr>
          <w:rFonts w:ascii="Arial" w:cs="Arial" w:eastAsia="Arial" w:hAnsi="Arial"/>
          <w:b/>
          <w:bCs/>
          <w:color w:val="2E75B6"/>
          <w:sz w:val="24"/>
          <w:szCs w:val="24"/>
        </w:rPr>
        <w:t xml:space="preserve">3.1 Payment Methods</w:t>
      </w:r>
    </w:p>
    <w:p>
      <w:pPr>
        <w:spacing w:after="100" w:before="60"/>
      </w:pPr>
      <w:r>
        <w:rPr>
          <w:rFonts w:ascii="Arial" w:cs="Arial" w:eastAsia="Arial" w:hAnsi="Arial"/>
          <w:sz w:val="22"/>
          <w:szCs w:val="22"/>
        </w:rPr>
        <w:t xml:space="preserve">Payments may be made via the methods available at the time of enrolment, as displayed on the TLSPH website. These currently include online card payment via our secure checkout.</w:t>
      </w:r>
    </w:p>
    <w:p>
      <w:pPr>
        <w:spacing w:after="100" w:before="60"/>
      </w:pPr>
      <w:r>
        <w:rPr>
          <w:rFonts w:ascii="Arial" w:cs="Arial" w:eastAsia="Arial" w:hAnsi="Arial"/>
          <w:sz w:val="22"/>
          <w:szCs w:val="22"/>
        </w:rPr>
        <w:t xml:space="preserve">All payment transactions are processed through a secure third-party payment provider. TLSPH does not store card details.</w:t>
      </w:r>
    </w:p>
    <w:p>
      <w:pPr>
        <w:spacing w:after="80" w:before="220"/>
      </w:pPr>
      <w:r>
        <w:rPr>
          <w:rFonts w:ascii="Arial" w:cs="Arial" w:eastAsia="Arial" w:hAnsi="Arial"/>
          <w:b/>
          <w:bCs/>
          <w:color w:val="2E75B6"/>
          <w:sz w:val="24"/>
          <w:szCs w:val="24"/>
        </w:rPr>
        <w:t xml:space="preserve">3.2 Payment Plans</w:t>
      </w:r>
    </w:p>
    <w:p>
      <w:pPr>
        <w:spacing w:after="100" w:before="60"/>
      </w:pPr>
      <w:r>
        <w:rPr>
          <w:rFonts w:ascii="Arial" w:cs="Arial" w:eastAsia="Arial" w:hAnsi="Arial"/>
          <w:sz w:val="22"/>
          <w:szCs w:val="22"/>
        </w:rPr>
        <w:t xml:space="preserve">TLSPH may offer instalment payment plans on selected courses. Where a payment plan is available, the following conditions apply:</w:t>
      </w:r>
    </w:p>
    <w:p>
      <w:pPr>
        <w:pStyle w:val="ListParagraph"/>
        <w:numPr>
          <w:ilvl w:val="0"/>
          <w:numId w:val="2"/>
        </w:numPr>
        <w:spacing w:after="40" w:before="40"/>
      </w:pPr>
      <w:r>
        <w:rPr>
          <w:rFonts w:ascii="Arial" w:cs="Arial" w:eastAsia="Arial" w:hAnsi="Arial"/>
          <w:sz w:val="22"/>
          <w:szCs w:val="22"/>
        </w:rPr>
        <w:t xml:space="preserve">The total course fee remains payable regardless of whether the student completes the course</w:t>
      </w:r>
    </w:p>
    <w:p>
      <w:pPr>
        <w:pStyle w:val="ListParagraph"/>
        <w:numPr>
          <w:ilvl w:val="0"/>
          <w:numId w:val="2"/>
        </w:numPr>
        <w:spacing w:after="40" w:before="40"/>
      </w:pPr>
      <w:r>
        <w:rPr>
          <w:rFonts w:ascii="Arial" w:cs="Arial" w:eastAsia="Arial" w:hAnsi="Arial"/>
          <w:sz w:val="22"/>
          <w:szCs w:val="22"/>
        </w:rPr>
        <w:t xml:space="preserve">Instalments must be paid on the agreed dates</w:t>
      </w:r>
    </w:p>
    <w:p>
      <w:pPr>
        <w:pStyle w:val="ListParagraph"/>
        <w:numPr>
          <w:ilvl w:val="0"/>
          <w:numId w:val="2"/>
        </w:numPr>
        <w:spacing w:after="40" w:before="40"/>
      </w:pPr>
      <w:r>
        <w:rPr>
          <w:rFonts w:ascii="Arial" w:cs="Arial" w:eastAsia="Arial" w:hAnsi="Arial"/>
          <w:sz w:val="22"/>
          <w:szCs w:val="22"/>
        </w:rPr>
        <w:t xml:space="preserve">Failure to maintain agreed instalment payments may result in suspension of course access</w:t>
      </w:r>
    </w:p>
    <w:p>
      <w:pPr>
        <w:pStyle w:val="ListParagraph"/>
        <w:numPr>
          <w:ilvl w:val="0"/>
          <w:numId w:val="2"/>
        </w:numPr>
        <w:spacing w:after="40" w:before="40"/>
      </w:pPr>
      <w:r>
        <w:rPr>
          <w:rFonts w:ascii="Arial" w:cs="Arial" w:eastAsia="Arial" w:hAnsi="Arial"/>
          <w:sz w:val="22"/>
          <w:szCs w:val="22"/>
        </w:rPr>
        <w:t xml:space="preserve">Payment plan eligibility and terms are confirmed at the point of enrolment</w:t>
      </w:r>
    </w:p>
    <w:p>
      <w:pPr>
        <w:spacing w:after="80" w:before="220"/>
      </w:pPr>
      <w:r>
        <w:rPr>
          <w:rFonts w:ascii="Arial" w:cs="Arial" w:eastAsia="Arial" w:hAnsi="Arial"/>
          <w:b/>
          <w:bCs/>
          <w:color w:val="2E75B6"/>
          <w:sz w:val="24"/>
          <w:szCs w:val="24"/>
        </w:rPr>
        <w:t xml:space="preserve">3.3 Proof of Payment</w:t>
      </w:r>
    </w:p>
    <w:p>
      <w:pPr>
        <w:spacing w:after="100" w:before="60"/>
      </w:pPr>
      <w:r>
        <w:rPr>
          <w:rFonts w:ascii="Arial" w:cs="Arial" w:eastAsia="Arial" w:hAnsi="Arial"/>
          <w:sz w:val="22"/>
          <w:szCs w:val="22"/>
        </w:rPr>
        <w:t xml:space="preserve">A payment confirmation will be sent to the email address provided at the point of enrolment. Students should retain this as proof of payment. If you do not receive a confirmation, please contact us at info@thelondonschoolofpublichealth.com.</w:t>
      </w:r>
    </w:p>
    <w:p>
      <w:pPr>
        <w:spacing w:after="80" w:before="220"/>
      </w:pPr>
      <w:r>
        <w:rPr>
          <w:rFonts w:ascii="Arial" w:cs="Arial" w:eastAsia="Arial" w:hAnsi="Arial"/>
          <w:b/>
          <w:bCs/>
          <w:color w:val="2E75B6"/>
          <w:sz w:val="24"/>
          <w:szCs w:val="24"/>
        </w:rPr>
        <w:t xml:space="preserve">3.4 Sponsored or Employer-Funded Students</w:t>
      </w:r>
    </w:p>
    <w:p>
      <w:pPr>
        <w:spacing w:after="100" w:before="60"/>
      </w:pPr>
      <w:r>
        <w:rPr>
          <w:rFonts w:ascii="Arial" w:cs="Arial" w:eastAsia="Arial" w:hAnsi="Arial"/>
          <w:sz w:val="22"/>
          <w:szCs w:val="22"/>
        </w:rPr>
        <w:t xml:space="preserve">Where a student's fees are being paid by an employer or sponsor, TLSPH must receive confirmation of the funding arrangement prior to enrolment. The sponsoring organisation remains liable for full payment of fees in accordance with any agreed payment schedule. Students enrolled under a sponsorship arrangement remain subject to all other terms of this policy.</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4. Cooling-Off Period</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FF3CD" w:val="clear"/>
            <w:tcMar>
              <w:top w:type="dxa" w:w="120"/>
              <w:left w:type="dxa" w:w="200"/>
              <w:bottom w:type="dxa" w:w="120"/>
              <w:right w:type="dxa" w:w="200"/>
            </w:tcMar>
          </w:tcPr>
          <w:p>
            <w:pPr>
              <w:spacing w:after="40" w:before="0"/>
            </w:pPr>
            <w:r>
              <w:rPr>
                <w:rFonts w:ascii="Arial" w:cs="Arial" w:eastAsia="Arial" w:hAnsi="Arial"/>
                <w:b/>
                <w:bCs/>
                <w:color w:val="7D4E00"/>
                <w:sz w:val="21"/>
                <w:szCs w:val="21"/>
              </w:rPr>
              <w:t xml:space="preserve">Important — Your Right to Cancel</w:t>
            </w:r>
          </w:p>
          <w:p>
            <w:pPr>
              <w:spacing w:after="0" w:before="0"/>
            </w:pPr>
            <w:r>
              <w:rPr>
                <w:rFonts w:ascii="Arial" w:cs="Arial" w:eastAsia="Arial" w:hAnsi="Arial"/>
                <w:color w:val="5C3A00"/>
                <w:sz w:val="20"/>
                <w:szCs w:val="20"/>
              </w:rPr>
              <w:t xml:space="preserve">Under the Consumer Contracts Regulations 2013, you have a statutory right to cancel your enrolment within 14 calendar days of the date of your enrolment confirmation, without giving any reason, and receive a full refund. This is known as the 'cooling-off period'.</w:t>
            </w:r>
          </w:p>
        </w:tc>
      </w:tr>
    </w:tbl>
    <w:p>
      <w:pPr>
        <w:spacing w:after="80" w:before="0"/>
      </w:pPr>
      <w:r>
        <w:t xml:space="preserve"/>
      </w:r>
    </w:p>
    <w:p>
      <w:pPr>
        <w:spacing w:after="100" w:before="60"/>
      </w:pPr>
      <w:r>
        <w:rPr>
          <w:rFonts w:ascii="Arial" w:cs="Arial" w:eastAsia="Arial" w:hAnsi="Arial"/>
          <w:sz w:val="22"/>
          <w:szCs w:val="22"/>
        </w:rPr>
        <w:t xml:space="preserve">To exercise your right to cancel within the cooling-off period:</w:t>
      </w:r>
    </w:p>
    <w:p>
      <w:pPr>
        <w:pStyle w:val="ListParagraph"/>
        <w:numPr>
          <w:ilvl w:val="0"/>
          <w:numId w:val="2"/>
        </w:numPr>
        <w:spacing w:after="40" w:before="40"/>
      </w:pPr>
      <w:r>
        <w:rPr>
          <w:rFonts w:ascii="Arial" w:cs="Arial" w:eastAsia="Arial" w:hAnsi="Arial"/>
          <w:sz w:val="22"/>
          <w:szCs w:val="22"/>
        </w:rPr>
        <w:t xml:space="preserve">Notify TLSPH in writing by email to info@thelondonschoolofpublichealth.com within 14 calendar days of your enrolment confirmation</w:t>
      </w:r>
    </w:p>
    <w:p>
      <w:pPr>
        <w:pStyle w:val="ListParagraph"/>
        <w:numPr>
          <w:ilvl w:val="0"/>
          <w:numId w:val="2"/>
        </w:numPr>
        <w:spacing w:after="40" w:before="40"/>
      </w:pPr>
      <w:r>
        <w:rPr>
          <w:rFonts w:ascii="Arial" w:cs="Arial" w:eastAsia="Arial" w:hAnsi="Arial"/>
          <w:sz w:val="22"/>
          <w:szCs w:val="22"/>
        </w:rPr>
        <w:t xml:space="preserve">Include your full name, course name, and enrolment date in your cancellation request</w:t>
      </w:r>
    </w:p>
    <w:p>
      <w:pPr>
        <w:spacing w:after="80" w:before="0"/>
      </w:pPr>
      <w:r>
        <w:t xml:space="preserve"/>
      </w:r>
    </w:p>
    <w:p>
      <w:pPr>
        <w:spacing w:after="100" w:before="60"/>
      </w:pPr>
      <w:r>
        <w:rPr>
          <w:rFonts w:ascii="Arial" w:cs="Arial" w:eastAsia="Arial" w:hAnsi="Arial"/>
          <w:sz w:val="22"/>
          <w:szCs w:val="22"/>
        </w:rPr>
        <w:t xml:space="preserve">Please note: If you expressly request that your course access begins within the 14-day cooling-off period (e.g. you request to begin accessing materials immediately), you acknowledge that your right to a full refund may be reduced proportionally to reflect the service already provided. This will be confirmed to you at the point of enrolment.</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5. Refund Policy</w:t>
      </w:r>
    </w:p>
    <w:p>
      <w:pPr>
        <w:spacing w:after="80" w:before="220"/>
      </w:pPr>
      <w:r>
        <w:rPr>
          <w:rFonts w:ascii="Arial" w:cs="Arial" w:eastAsia="Arial" w:hAnsi="Arial"/>
          <w:b/>
          <w:bCs/>
          <w:color w:val="2E75B6"/>
          <w:sz w:val="24"/>
          <w:szCs w:val="24"/>
        </w:rPr>
        <w:t xml:space="preserve">5.1 Refund Schedule</w:t>
      </w:r>
    </w:p>
    <w:p>
      <w:pPr>
        <w:spacing w:after="100" w:before="60"/>
      </w:pPr>
      <w:r>
        <w:rPr>
          <w:rFonts w:ascii="Arial" w:cs="Arial" w:eastAsia="Arial" w:hAnsi="Arial"/>
          <w:sz w:val="22"/>
          <w:szCs w:val="22"/>
        </w:rPr>
        <w:t xml:space="preserve">Where a student wishes to withdraw from a course after the cooling-off period, the following refund schedule applies:</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763"/>
        <w:gridCol w:w="2763"/>
      </w:tblGrid>
      <w:tr>
        <w:trPr>
          <w:tblHeader/>
        </w:trPr>
        <w:tc>
          <w:tcPr>
            <w:tcW w:type="dxa" w:w="3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Withdrawal Timeframe</w:t>
            </w:r>
          </w:p>
        </w:tc>
        <w:tc>
          <w:tcPr>
            <w:tcW w:type="dxa" w:w="276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Refund Amount</w:t>
            </w:r>
          </w:p>
        </w:tc>
        <w:tc>
          <w:tcPr>
            <w:tcW w:type="dxa" w:w="276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Within 14 days of enrolment (cooling-off period)</w:t>
            </w:r>
          </w:p>
        </w:tc>
        <w:tc>
          <w:tcPr>
            <w:tcW w:type="dxa" w:w="276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100% refund</w:t>
            </w:r>
          </w:p>
        </w:tc>
        <w:tc>
          <w:tcPr>
            <w:tcW w:type="dxa" w:w="276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Full refund — no questions asked</w:t>
            </w:r>
          </w:p>
        </w:tc>
      </w:tr>
      <w:tr>
        <w:tc>
          <w:tcPr>
            <w:tcW w:type="dxa" w:w="3500"/>
            <w:tcBorders>
              <w:top w:val="single" w:color="CCCCCC" w:sz="1"/>
              <w:left w:val="single" w:color="CCCCCC" w:sz="1"/>
              <w:bottom w:val="single" w:color="CCCCCC" w:sz="1"/>
              <w:right w:val="single" w:color="CCCCCC" w:sz="1"/>
            </w:tcBorders>
            <w:shd w:fill="F0F5FA" w:val="clear"/>
            <w:tcMar>
              <w:top w:type="dxa" w:w="80"/>
              <w:left w:type="dxa" w:w="120"/>
              <w:bottom w:type="dxa" w:w="80"/>
              <w:right w:type="dxa" w:w="120"/>
            </w:tcMar>
          </w:tcPr>
          <w:p>
            <w:r>
              <w:rPr>
                <w:rFonts w:ascii="Arial" w:cs="Arial" w:eastAsia="Arial" w:hAnsi="Arial"/>
                <w:sz w:val="19"/>
                <w:szCs w:val="19"/>
              </w:rPr>
              <w:t xml:space="preserve">15–28 days after enrolment (no materials accessed)</w:t>
            </w:r>
          </w:p>
        </w:tc>
        <w:tc>
          <w:tcPr>
            <w:tcW w:type="dxa" w:w="2763"/>
            <w:tcBorders>
              <w:top w:val="single" w:color="CCCCCC" w:sz="1"/>
              <w:left w:val="single" w:color="CCCCCC" w:sz="1"/>
              <w:bottom w:val="single" w:color="CCCCCC" w:sz="1"/>
              <w:right w:val="single" w:color="CCCCCC" w:sz="1"/>
            </w:tcBorders>
            <w:shd w:fill="F0F5FA" w:val="clear"/>
            <w:tcMar>
              <w:top w:type="dxa" w:w="80"/>
              <w:left w:type="dxa" w:w="120"/>
              <w:bottom w:type="dxa" w:w="80"/>
              <w:right w:type="dxa" w:w="120"/>
            </w:tcMar>
          </w:tcPr>
          <w:p>
            <w:r>
              <w:rPr>
                <w:rFonts w:ascii="Arial" w:cs="Arial" w:eastAsia="Arial" w:hAnsi="Arial"/>
                <w:sz w:val="19"/>
                <w:szCs w:val="19"/>
              </w:rPr>
              <w:t xml:space="preserve">75% refund</w:t>
            </w:r>
          </w:p>
        </w:tc>
        <w:tc>
          <w:tcPr>
            <w:tcW w:type="dxa" w:w="2763"/>
            <w:tcBorders>
              <w:top w:val="single" w:color="CCCCCC" w:sz="1"/>
              <w:left w:val="single" w:color="CCCCCC" w:sz="1"/>
              <w:bottom w:val="single" w:color="CCCCCC" w:sz="1"/>
              <w:right w:val="single" w:color="CCCCCC" w:sz="1"/>
            </w:tcBorders>
            <w:shd w:fill="F0F5FA" w:val="clear"/>
            <w:tcMar>
              <w:top w:type="dxa" w:w="80"/>
              <w:left w:type="dxa" w:w="120"/>
              <w:bottom w:type="dxa" w:w="80"/>
              <w:right w:type="dxa" w:w="120"/>
            </w:tcMar>
          </w:tcPr>
          <w:p>
            <w:r>
              <w:rPr>
                <w:rFonts w:ascii="Arial" w:cs="Arial" w:eastAsia="Arial" w:hAnsi="Arial"/>
                <w:sz w:val="19"/>
                <w:szCs w:val="19"/>
              </w:rPr>
              <w:t xml:space="preserve">Partial refund minus admin fee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15–28 days after enrolment (materials accessed)</w:t>
            </w:r>
          </w:p>
        </w:tc>
        <w:tc>
          <w:tcPr>
            <w:tcW w:type="dxa" w:w="276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50% refund</w:t>
            </w:r>
          </w:p>
        </w:tc>
        <w:tc>
          <w:tcPr>
            <w:tcW w:type="dxa" w:w="276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Partial refund as course commenced</w:t>
            </w:r>
          </w:p>
        </w:tc>
      </w:tr>
      <w:tr>
        <w:tc>
          <w:tcPr>
            <w:tcW w:type="dxa" w:w="3500"/>
            <w:tcBorders>
              <w:top w:val="single" w:color="CCCCCC" w:sz="1"/>
              <w:left w:val="single" w:color="CCCCCC" w:sz="1"/>
              <w:bottom w:val="single" w:color="CCCCCC" w:sz="1"/>
              <w:right w:val="single" w:color="CCCCCC" w:sz="1"/>
            </w:tcBorders>
            <w:shd w:fill="F0F5FA" w:val="clear"/>
            <w:tcMar>
              <w:top w:type="dxa" w:w="80"/>
              <w:left w:type="dxa" w:w="120"/>
              <w:bottom w:type="dxa" w:w="80"/>
              <w:right w:type="dxa" w:w="120"/>
            </w:tcMar>
          </w:tcPr>
          <w:p>
            <w:r>
              <w:rPr>
                <w:rFonts w:ascii="Arial" w:cs="Arial" w:eastAsia="Arial" w:hAnsi="Arial"/>
                <w:sz w:val="19"/>
                <w:szCs w:val="19"/>
              </w:rPr>
              <w:t xml:space="preserve">29–60 days after enrolment</w:t>
            </w:r>
          </w:p>
        </w:tc>
        <w:tc>
          <w:tcPr>
            <w:tcW w:type="dxa" w:w="2763"/>
            <w:tcBorders>
              <w:top w:val="single" w:color="CCCCCC" w:sz="1"/>
              <w:left w:val="single" w:color="CCCCCC" w:sz="1"/>
              <w:bottom w:val="single" w:color="CCCCCC" w:sz="1"/>
              <w:right w:val="single" w:color="CCCCCC" w:sz="1"/>
            </w:tcBorders>
            <w:shd w:fill="F0F5FA" w:val="clear"/>
            <w:tcMar>
              <w:top w:type="dxa" w:w="80"/>
              <w:left w:type="dxa" w:w="120"/>
              <w:bottom w:type="dxa" w:w="80"/>
              <w:right w:type="dxa" w:w="120"/>
            </w:tcMar>
          </w:tcPr>
          <w:p>
            <w:r>
              <w:rPr>
                <w:rFonts w:ascii="Arial" w:cs="Arial" w:eastAsia="Arial" w:hAnsi="Arial"/>
                <w:sz w:val="19"/>
                <w:szCs w:val="19"/>
              </w:rPr>
              <w:t xml:space="preserve">25% refund</w:t>
            </w:r>
          </w:p>
        </w:tc>
        <w:tc>
          <w:tcPr>
            <w:tcW w:type="dxa" w:w="2763"/>
            <w:tcBorders>
              <w:top w:val="single" w:color="CCCCCC" w:sz="1"/>
              <w:left w:val="single" w:color="CCCCCC" w:sz="1"/>
              <w:bottom w:val="single" w:color="CCCCCC" w:sz="1"/>
              <w:right w:val="single" w:color="CCCCCC" w:sz="1"/>
            </w:tcBorders>
            <w:shd w:fill="F0F5FA" w:val="clear"/>
            <w:tcMar>
              <w:top w:type="dxa" w:w="80"/>
              <w:left w:type="dxa" w:w="120"/>
              <w:bottom w:type="dxa" w:w="80"/>
              <w:right w:type="dxa" w:w="120"/>
            </w:tcMar>
          </w:tcPr>
          <w:p>
            <w:r>
              <w:rPr>
                <w:rFonts w:ascii="Arial" w:cs="Arial" w:eastAsia="Arial" w:hAnsi="Arial"/>
                <w:sz w:val="19"/>
                <w:szCs w:val="19"/>
              </w:rPr>
              <w:t xml:space="preserve">Exceptional circumstances only</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After 60 days or course completion</w:t>
            </w:r>
          </w:p>
        </w:tc>
        <w:tc>
          <w:tcPr>
            <w:tcW w:type="dxa" w:w="276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No refund</w:t>
            </w:r>
          </w:p>
        </w:tc>
        <w:tc>
          <w:tcPr>
            <w:tcW w:type="dxa" w:w="276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Standard policy — see Section 6</w:t>
            </w:r>
          </w:p>
        </w:tc>
      </w:tr>
    </w:tbl>
    <w:p>
      <w:pPr>
        <w:spacing w:after="80" w:before="0"/>
      </w:pPr>
      <w:r>
        <w:t xml:space="preserve"/>
      </w:r>
    </w:p>
    <w:p>
      <w:pPr>
        <w:spacing w:after="80" w:before="220"/>
      </w:pPr>
      <w:r>
        <w:rPr>
          <w:rFonts w:ascii="Arial" w:cs="Arial" w:eastAsia="Arial" w:hAnsi="Arial"/>
          <w:b/>
          <w:bCs/>
          <w:color w:val="2E75B6"/>
          <w:sz w:val="24"/>
          <w:szCs w:val="24"/>
        </w:rPr>
        <w:t xml:space="preserve">5.2 How to Request a Refund</w:t>
      </w:r>
    </w:p>
    <w:p>
      <w:pPr>
        <w:spacing w:after="100" w:before="60"/>
      </w:pPr>
      <w:r>
        <w:rPr>
          <w:rFonts w:ascii="Arial" w:cs="Arial" w:eastAsia="Arial" w:hAnsi="Arial"/>
          <w:sz w:val="22"/>
          <w:szCs w:val="22"/>
        </w:rPr>
        <w:t xml:space="preserve">All refund requests must be submitted in writing to info@thelondonschoolofpublichealth.com and should include:</w:t>
      </w:r>
    </w:p>
    <w:p>
      <w:pPr>
        <w:pStyle w:val="ListParagraph"/>
        <w:numPr>
          <w:ilvl w:val="0"/>
          <w:numId w:val="2"/>
        </w:numPr>
        <w:spacing w:after="40" w:before="40"/>
      </w:pPr>
      <w:r>
        <w:rPr>
          <w:rFonts w:ascii="Arial" w:cs="Arial" w:eastAsia="Arial" w:hAnsi="Arial"/>
          <w:sz w:val="22"/>
          <w:szCs w:val="22"/>
        </w:rPr>
        <w:t xml:space="preserve">Your full name and student reference number</w:t>
      </w:r>
    </w:p>
    <w:p>
      <w:pPr>
        <w:pStyle w:val="ListParagraph"/>
        <w:numPr>
          <w:ilvl w:val="0"/>
          <w:numId w:val="2"/>
        </w:numPr>
        <w:spacing w:after="40" w:before="40"/>
      </w:pPr>
      <w:r>
        <w:rPr>
          <w:rFonts w:ascii="Arial" w:cs="Arial" w:eastAsia="Arial" w:hAnsi="Arial"/>
          <w:sz w:val="22"/>
          <w:szCs w:val="22"/>
        </w:rPr>
        <w:t xml:space="preserve">The name of the course from which you are withdrawing</w:t>
      </w:r>
    </w:p>
    <w:p>
      <w:pPr>
        <w:pStyle w:val="ListParagraph"/>
        <w:numPr>
          <w:ilvl w:val="0"/>
          <w:numId w:val="2"/>
        </w:numPr>
        <w:spacing w:after="40" w:before="40"/>
      </w:pPr>
      <w:r>
        <w:rPr>
          <w:rFonts w:ascii="Arial" w:cs="Arial" w:eastAsia="Arial" w:hAnsi="Arial"/>
          <w:sz w:val="22"/>
          <w:szCs w:val="22"/>
        </w:rPr>
        <w:t xml:space="preserve">Your date of enrolment</w:t>
      </w:r>
    </w:p>
    <w:p>
      <w:pPr>
        <w:pStyle w:val="ListParagraph"/>
        <w:numPr>
          <w:ilvl w:val="0"/>
          <w:numId w:val="2"/>
        </w:numPr>
        <w:spacing w:after="40" w:before="40"/>
      </w:pPr>
      <w:r>
        <w:rPr>
          <w:rFonts w:ascii="Arial" w:cs="Arial" w:eastAsia="Arial" w:hAnsi="Arial"/>
          <w:sz w:val="22"/>
          <w:szCs w:val="22"/>
        </w:rPr>
        <w:t xml:space="preserve">The reason for your withdrawal (required for requests after 28 days)</w:t>
      </w:r>
    </w:p>
    <w:p>
      <w:pPr>
        <w:spacing w:after="80" w:before="0"/>
      </w:pPr>
      <w:r>
        <w:t xml:space="preserve"/>
      </w:r>
    </w:p>
    <w:p>
      <w:pPr>
        <w:spacing w:after="100" w:before="60"/>
      </w:pPr>
      <w:r>
        <w:rPr>
          <w:rFonts w:ascii="Arial" w:cs="Arial" w:eastAsia="Arial" w:hAnsi="Arial"/>
          <w:sz w:val="22"/>
          <w:szCs w:val="22"/>
        </w:rPr>
        <w:t xml:space="preserve">Refund requests will be acknowledged within 5 working days. A decision will be communicated within 15 working days of receipt.</w:t>
      </w:r>
    </w:p>
    <w:p>
      <w:pPr>
        <w:spacing w:after="80" w:before="220"/>
      </w:pPr>
      <w:r>
        <w:rPr>
          <w:rFonts w:ascii="Arial" w:cs="Arial" w:eastAsia="Arial" w:hAnsi="Arial"/>
          <w:b/>
          <w:bCs/>
          <w:color w:val="2E75B6"/>
          <w:sz w:val="24"/>
          <w:szCs w:val="24"/>
        </w:rPr>
        <w:t xml:space="preserve">5.3 Refund Method</w:t>
      </w:r>
    </w:p>
    <w:p>
      <w:pPr>
        <w:spacing w:after="100" w:before="60"/>
      </w:pPr>
      <w:r>
        <w:rPr>
          <w:rFonts w:ascii="Arial" w:cs="Arial" w:eastAsia="Arial" w:hAnsi="Arial"/>
          <w:sz w:val="22"/>
          <w:szCs w:val="22"/>
        </w:rPr>
        <w:t xml:space="preserve">Approved refunds will be made using the same payment method used at the time of enrolment. Refunds will be processed within 14 calendar days of the refund decision being confirmed.</w:t>
      </w:r>
    </w:p>
    <w:p>
      <w:pPr>
        <w:spacing w:after="80" w:before="220"/>
      </w:pPr>
      <w:r>
        <w:rPr>
          <w:rFonts w:ascii="Arial" w:cs="Arial" w:eastAsia="Arial" w:hAnsi="Arial"/>
          <w:b/>
          <w:bCs/>
          <w:color w:val="2E75B6"/>
          <w:sz w:val="24"/>
          <w:szCs w:val="24"/>
        </w:rPr>
        <w:t xml:space="preserve">5.4 Non-Refundable Circumstances</w:t>
      </w:r>
    </w:p>
    <w:p>
      <w:pPr>
        <w:spacing w:after="100" w:before="60"/>
      </w:pPr>
      <w:r>
        <w:rPr>
          <w:rFonts w:ascii="Arial" w:cs="Arial" w:eastAsia="Arial" w:hAnsi="Arial"/>
          <w:sz w:val="22"/>
          <w:szCs w:val="22"/>
        </w:rPr>
        <w:t xml:space="preserve">Refunds will not be issued in the following circumstances:</w:t>
      </w:r>
    </w:p>
    <w:p>
      <w:pPr>
        <w:pStyle w:val="ListParagraph"/>
        <w:numPr>
          <w:ilvl w:val="0"/>
          <w:numId w:val="2"/>
        </w:numPr>
        <w:spacing w:after="40" w:before="40"/>
      </w:pPr>
      <w:r>
        <w:rPr>
          <w:rFonts w:ascii="Arial" w:cs="Arial" w:eastAsia="Arial" w:hAnsi="Arial"/>
          <w:sz w:val="22"/>
          <w:szCs w:val="22"/>
        </w:rPr>
        <w:t xml:space="preserve">The student has completed or substantially completed the course</w:t>
      </w:r>
    </w:p>
    <w:p>
      <w:pPr>
        <w:pStyle w:val="ListParagraph"/>
        <w:numPr>
          <w:ilvl w:val="0"/>
          <w:numId w:val="2"/>
        </w:numPr>
        <w:spacing w:after="40" w:before="40"/>
      </w:pPr>
      <w:r>
        <w:rPr>
          <w:rFonts w:ascii="Arial" w:cs="Arial" w:eastAsia="Arial" w:hAnsi="Arial"/>
          <w:sz w:val="22"/>
          <w:szCs w:val="22"/>
        </w:rPr>
        <w:t xml:space="preserve">The student has downloaded or printed a significant portion of course materials</w:t>
      </w:r>
    </w:p>
    <w:p>
      <w:pPr>
        <w:pStyle w:val="ListParagraph"/>
        <w:numPr>
          <w:ilvl w:val="0"/>
          <w:numId w:val="2"/>
        </w:numPr>
        <w:spacing w:after="40" w:before="40"/>
      </w:pPr>
      <w:r>
        <w:rPr>
          <w:rFonts w:ascii="Arial" w:cs="Arial" w:eastAsia="Arial" w:hAnsi="Arial"/>
          <w:sz w:val="22"/>
          <w:szCs w:val="22"/>
        </w:rPr>
        <w:t xml:space="preserve">The student has received a certificate of completion</w:t>
      </w:r>
    </w:p>
    <w:p>
      <w:pPr>
        <w:pStyle w:val="ListParagraph"/>
        <w:numPr>
          <w:ilvl w:val="0"/>
          <w:numId w:val="2"/>
        </w:numPr>
        <w:spacing w:after="40" w:before="40"/>
      </w:pPr>
      <w:r>
        <w:rPr>
          <w:rFonts w:ascii="Arial" w:cs="Arial" w:eastAsia="Arial" w:hAnsi="Arial"/>
          <w:sz w:val="22"/>
          <w:szCs w:val="22"/>
        </w:rPr>
        <w:t xml:space="preserve">The request is made after 60 days of enrolment without exceptional circumstances</w:t>
      </w:r>
    </w:p>
    <w:p>
      <w:pPr>
        <w:pStyle w:val="ListParagraph"/>
        <w:numPr>
          <w:ilvl w:val="0"/>
          <w:numId w:val="2"/>
        </w:numPr>
        <w:spacing w:after="40" w:before="40"/>
      </w:pPr>
      <w:r>
        <w:rPr>
          <w:rFonts w:ascii="Arial" w:cs="Arial" w:eastAsia="Arial" w:hAnsi="Arial"/>
          <w:sz w:val="22"/>
          <w:szCs w:val="22"/>
        </w:rPr>
        <w:t xml:space="preserve">The student has been removed from the course due to a breach of our Academic Integrity Policy or Student Code of Conduct</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6. Exceptional Circumstances</w:t>
      </w:r>
    </w:p>
    <w:p>
      <w:pPr>
        <w:spacing w:after="100" w:before="60"/>
      </w:pPr>
      <w:r>
        <w:rPr>
          <w:rFonts w:ascii="Arial" w:cs="Arial" w:eastAsia="Arial" w:hAnsi="Arial"/>
          <w:sz w:val="22"/>
          <w:szCs w:val="22"/>
        </w:rPr>
        <w:t xml:space="preserve">TLSPH recognises that students may face serious and unforeseen circumstances that affect their ability to continue studying. In such cases, students may apply for one of the following outcomes:</w:t>
      </w:r>
    </w:p>
    <w:p>
      <w:pPr>
        <w:pStyle w:val="ListParagraph"/>
        <w:numPr>
          <w:ilvl w:val="0"/>
          <w:numId w:val="2"/>
        </w:numPr>
        <w:spacing w:after="40" w:before="40"/>
      </w:pPr>
      <w:r>
        <w:rPr>
          <w:rFonts w:ascii="Arial" w:cs="Arial" w:eastAsia="Arial" w:hAnsi="Arial"/>
          <w:sz w:val="22"/>
          <w:szCs w:val="22"/>
        </w:rPr>
        <w:t xml:space="preserve">A fee reduction or partial refund beyond the standard schedule</w:t>
      </w:r>
    </w:p>
    <w:p>
      <w:pPr>
        <w:pStyle w:val="ListParagraph"/>
        <w:numPr>
          <w:ilvl w:val="0"/>
          <w:numId w:val="2"/>
        </w:numPr>
        <w:spacing w:after="40" w:before="40"/>
      </w:pPr>
      <w:r>
        <w:rPr>
          <w:rFonts w:ascii="Arial" w:cs="Arial" w:eastAsia="Arial" w:hAnsi="Arial"/>
          <w:sz w:val="22"/>
          <w:szCs w:val="22"/>
        </w:rPr>
        <w:t xml:space="preserve">A deferral of their course to a future intake</w:t>
      </w:r>
    </w:p>
    <w:p>
      <w:pPr>
        <w:pStyle w:val="ListParagraph"/>
        <w:numPr>
          <w:ilvl w:val="0"/>
          <w:numId w:val="2"/>
        </w:numPr>
        <w:spacing w:after="40" w:before="40"/>
      </w:pPr>
      <w:r>
        <w:rPr>
          <w:rFonts w:ascii="Arial" w:cs="Arial" w:eastAsia="Arial" w:hAnsi="Arial"/>
          <w:sz w:val="22"/>
          <w:szCs w:val="22"/>
        </w:rPr>
        <w:t xml:space="preserve">A period of suspension with course access preserved</w:t>
      </w:r>
    </w:p>
    <w:p>
      <w:pPr>
        <w:spacing w:after="80" w:before="0"/>
      </w:pPr>
      <w:r>
        <w:t xml:space="preserve"/>
      </w:r>
    </w:p>
    <w:p>
      <w:pPr>
        <w:spacing w:after="100" w:before="60"/>
      </w:pPr>
      <w:r>
        <w:rPr>
          <w:rFonts w:ascii="Arial" w:cs="Arial" w:eastAsia="Arial" w:hAnsi="Arial"/>
          <w:sz w:val="22"/>
          <w:szCs w:val="22"/>
        </w:rPr>
        <w:t xml:space="preserve">Requests on grounds of exceptional circumstances must be submitted in writing to the Senior Leadership Team and supported by appropriate evidence (e.g. medical certificate, bereavement documentation). Each case will be considered individually and a decision will be communicated within 20 working days.</w:t>
      </w:r>
    </w:p>
    <w:p>
      <w:pPr>
        <w:spacing w:after="100" w:before="60"/>
      </w:pPr>
      <w:r>
        <w:rPr>
          <w:rFonts w:ascii="Arial" w:cs="Arial" w:eastAsia="Arial" w:hAnsi="Arial"/>
          <w:sz w:val="22"/>
          <w:szCs w:val="22"/>
        </w:rPr>
        <w:t xml:space="preserve">TLSPH reserves the right to request additional information and to make the final decision in all exceptional circumstances cases.</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7. Course Cancellation or Changes by TLSPH</w:t>
      </w:r>
    </w:p>
    <w:p>
      <w:pPr>
        <w:spacing w:after="80" w:before="220"/>
      </w:pPr>
      <w:r>
        <w:rPr>
          <w:rFonts w:ascii="Arial" w:cs="Arial" w:eastAsia="Arial" w:hAnsi="Arial"/>
          <w:b/>
          <w:bCs/>
          <w:color w:val="2E75B6"/>
          <w:sz w:val="24"/>
          <w:szCs w:val="24"/>
        </w:rPr>
        <w:t xml:space="preserve">7.1 Cancellation of a Course by TLSPH</w:t>
      </w:r>
    </w:p>
    <w:p>
      <w:pPr>
        <w:spacing w:after="100" w:before="60"/>
      </w:pPr>
      <w:r>
        <w:rPr>
          <w:rFonts w:ascii="Arial" w:cs="Arial" w:eastAsia="Arial" w:hAnsi="Arial"/>
          <w:sz w:val="22"/>
          <w:szCs w:val="22"/>
        </w:rPr>
        <w:t xml:space="preserve">In the unlikely event that TLSPH cancels a course prior to its start date, enrolled students will be entitled to:</w:t>
      </w:r>
    </w:p>
    <w:p>
      <w:pPr>
        <w:pStyle w:val="ListParagraph"/>
        <w:numPr>
          <w:ilvl w:val="0"/>
          <w:numId w:val="2"/>
        </w:numPr>
        <w:spacing w:after="40" w:before="40"/>
      </w:pPr>
      <w:r>
        <w:rPr>
          <w:rFonts w:ascii="Arial" w:cs="Arial" w:eastAsia="Arial" w:hAnsi="Arial"/>
          <w:sz w:val="22"/>
          <w:szCs w:val="22"/>
        </w:rPr>
        <w:t xml:space="preserve">A full refund of all fees paid, or</w:t>
      </w:r>
    </w:p>
    <w:p>
      <w:pPr>
        <w:pStyle w:val="ListParagraph"/>
        <w:numPr>
          <w:ilvl w:val="0"/>
          <w:numId w:val="2"/>
        </w:numPr>
        <w:spacing w:after="40" w:before="40"/>
      </w:pPr>
      <w:r>
        <w:rPr>
          <w:rFonts w:ascii="Arial" w:cs="Arial" w:eastAsia="Arial" w:hAnsi="Arial"/>
          <w:sz w:val="22"/>
          <w:szCs w:val="22"/>
        </w:rPr>
        <w:t xml:space="preserve">The option to transfer to an equivalent course at no additional cost</w:t>
      </w:r>
    </w:p>
    <w:p>
      <w:pPr>
        <w:spacing w:after="80" w:before="0"/>
      </w:pPr>
      <w:r>
        <w:t xml:space="preserve"/>
      </w:r>
    </w:p>
    <w:p>
      <w:pPr>
        <w:spacing w:after="100" w:before="60"/>
      </w:pPr>
      <w:r>
        <w:rPr>
          <w:rFonts w:ascii="Arial" w:cs="Arial" w:eastAsia="Arial" w:hAnsi="Arial"/>
          <w:sz w:val="22"/>
          <w:szCs w:val="22"/>
        </w:rPr>
        <w:t xml:space="preserve">TLSPH will notify affected students as soon as possible and will endeavour to provide at least 14 days' notice where practicable.</w:t>
      </w:r>
    </w:p>
    <w:p>
      <w:pPr>
        <w:spacing w:after="80" w:before="220"/>
      </w:pPr>
      <w:r>
        <w:rPr>
          <w:rFonts w:ascii="Arial" w:cs="Arial" w:eastAsia="Arial" w:hAnsi="Arial"/>
          <w:b/>
          <w:bCs/>
          <w:color w:val="2E75B6"/>
          <w:sz w:val="24"/>
          <w:szCs w:val="24"/>
        </w:rPr>
        <w:t xml:space="preserve">7.2 Material Changes to a Course</w:t>
      </w:r>
    </w:p>
    <w:p>
      <w:pPr>
        <w:spacing w:after="100" w:before="60"/>
      </w:pPr>
      <w:r>
        <w:rPr>
          <w:rFonts w:ascii="Arial" w:cs="Arial" w:eastAsia="Arial" w:hAnsi="Arial"/>
          <w:sz w:val="22"/>
          <w:szCs w:val="22"/>
        </w:rPr>
        <w:t xml:space="preserve">If TLSPH makes a material change to a course after enrolment (such as a significant change to the curriculum, delivery mode, or accreditation status), affected students will be informed and offered:</w:t>
      </w:r>
    </w:p>
    <w:p>
      <w:pPr>
        <w:pStyle w:val="ListParagraph"/>
        <w:numPr>
          <w:ilvl w:val="0"/>
          <w:numId w:val="2"/>
        </w:numPr>
        <w:spacing w:after="40" w:before="40"/>
      </w:pPr>
      <w:r>
        <w:rPr>
          <w:rFonts w:ascii="Arial" w:cs="Arial" w:eastAsia="Arial" w:hAnsi="Arial"/>
          <w:sz w:val="22"/>
          <w:szCs w:val="22"/>
        </w:rPr>
        <w:t xml:space="preserve">The opportunity to continue under the revised terms, or</w:t>
      </w:r>
    </w:p>
    <w:p>
      <w:pPr>
        <w:pStyle w:val="ListParagraph"/>
        <w:numPr>
          <w:ilvl w:val="0"/>
          <w:numId w:val="2"/>
        </w:numPr>
        <w:spacing w:after="40" w:before="40"/>
      </w:pPr>
      <w:r>
        <w:rPr>
          <w:rFonts w:ascii="Arial" w:cs="Arial" w:eastAsia="Arial" w:hAnsi="Arial"/>
          <w:sz w:val="22"/>
          <w:szCs w:val="22"/>
        </w:rPr>
        <w:t xml:space="preserve">A proportional refund for the unused portion of the course</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8. Complaints</w:t>
      </w:r>
    </w:p>
    <w:p>
      <w:pPr>
        <w:spacing w:after="100" w:before="60"/>
      </w:pPr>
      <w:r>
        <w:rPr>
          <w:rFonts w:ascii="Arial" w:cs="Arial" w:eastAsia="Arial" w:hAnsi="Arial"/>
          <w:sz w:val="22"/>
          <w:szCs w:val="22"/>
        </w:rPr>
        <w:t xml:space="preserve">If you are dissatisfied with any aspect of our fees, payment handling, or the outcome of a refund request, you may raise a formal complaint in accordance with our Student Complaints &amp; Appeals Policy, available on our website.</w:t>
      </w:r>
    </w:p>
    <w:p>
      <w:pPr>
        <w:spacing w:after="100" w:before="60"/>
      </w:pPr>
      <w:r>
        <w:rPr>
          <w:rFonts w:ascii="Arial" w:cs="Arial" w:eastAsia="Arial" w:hAnsi="Arial"/>
          <w:sz w:val="22"/>
          <w:szCs w:val="22"/>
        </w:rPr>
        <w:t xml:space="preserve">TLSPH is committed to resolving all complaints fairly and promptly. If you remain dissatisfied following our internal complaints process, you may be entitled to escalate your complaint to an appropriate external body.</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9. Contact</w:t>
      </w:r>
    </w:p>
    <w:p>
      <w:pPr>
        <w:spacing w:after="100" w:before="60"/>
      </w:pPr>
      <w:r>
        <w:rPr>
          <w:rFonts w:ascii="Arial" w:cs="Arial" w:eastAsia="Arial" w:hAnsi="Arial"/>
          <w:sz w:val="22"/>
          <w:szCs w:val="22"/>
        </w:rPr>
        <w:t xml:space="preserve">For all fee, payment, and refund enquiries, please contact:</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Organisation</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TLSPH LTD (The London School of Public Health)</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Email</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info@thelondonschoolofpublichealth.com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Website</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www.thelondonschoolofpublichealth.com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Responsible Body</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Senior Leadership Team</w:t>
            </w:r>
          </w:p>
        </w:tc>
      </w:tr>
    </w:tbl>
    <w:p>
      <w:pPr>
        <w:spacing w:after="80" w:before="0"/>
      </w:pPr>
      <w:r>
        <w:t xml:space="preserve"/>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D6E4F0" w:val="clear"/>
            <w:tcMar>
              <w:top w:type="dxa" w:w="120"/>
              <w:left w:type="dxa" w:w="200"/>
              <w:bottom w:type="dxa" w:w="120"/>
              <w:right w:type="dxa" w:w="200"/>
            </w:tcMar>
          </w:tcPr>
          <w:p>
            <w:pPr>
              <w:spacing w:after="40" w:before="40"/>
            </w:pPr>
            <w:r>
              <w:rPr>
                <w:rFonts w:ascii="Arial" w:cs="Arial" w:eastAsia="Arial" w:hAnsi="Arial"/>
                <w:b/>
                <w:bCs/>
                <w:color w:val="1B3A6B"/>
                <w:sz w:val="20"/>
                <w:szCs w:val="20"/>
              </w:rPr>
              <w:t xml:space="preserve">Policy Review</w:t>
            </w:r>
          </w:p>
          <w:p>
            <w:pPr>
              <w:spacing w:after="20" w:before="20"/>
            </w:pPr>
            <w:r>
              <w:rPr>
                <w:rFonts w:ascii="Arial" w:cs="Arial" w:eastAsia="Arial" w:hAnsi="Arial"/>
                <w:sz w:val="19"/>
                <w:szCs w:val="19"/>
              </w:rPr>
              <w:t xml:space="preserve">This policy is reviewed annually by the Senior Leadership Team to ensure compliance with the Consumer Contracts Regulations 2013, the Consumer Rights Act 2015, and any other applicable legislation.</w:t>
            </w:r>
          </w:p>
          <w:p>
            <w:pPr>
              <w:spacing w:after="40" w:before="20"/>
            </w:pPr>
            <w:r>
              <w:rPr>
                <w:rFonts w:ascii="Arial" w:cs="Arial" w:eastAsia="Arial" w:hAnsi="Arial"/>
                <w:i/>
                <w:iCs/>
                <w:color w:val="555555"/>
                <w:sz w:val="19"/>
                <w:szCs w:val="19"/>
              </w:rPr>
              <w:t xml:space="preserve">Last Reviewed: January 2026   |   Next Review Due: January 2027   |   Version: 1.0</w:t>
            </w:r>
          </w:p>
        </w:tc>
      </w:tr>
    </w:tbl>
    <w:sectPr>
      <w:headerReference w:type="default" r:id="rId7"/>
      <w:footerReference w:type="default" r:id="rId8"/>
      <w:pgSz w:w="11906" w:h="16838" w:orient="portrait"/>
      <w:pgMar w:top="10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before="80"/>
    </w:pPr>
    <w:r>
      <w:rPr>
        <w:rFonts w:ascii="Arial" w:cs="Arial" w:eastAsia="Arial" w:hAnsi="Arial"/>
        <w:color w:val="888888"/>
        <w:sz w:val="16"/>
        <w:szCs w:val="16"/>
      </w:rPr>
      <w:t xml:space="preserve">Fees, Payment &amp; Refund Policy  |  TLSPH LTD  |  www.thelondonschoolofpublichealth.com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6"/>
      </w:pBdr>
      <w:spacing w:after="0"/>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 cy="762000"/>
                  </a:xfrm>
                  <a:prstGeom prst="rect">
                    <a:avLst/>
                  </a:prstGeom>
                </pic:spPr>
              </pic:pic>
            </a:graphicData>
          </a:graphic>
        </wp:inline>
      </w:drawing>
    </w:r>
    <w:r>
      <w:rPr>
        <w:rFonts w:ascii="Arial" w:cs="Arial" w:eastAsia="Arial" w:hAnsi="Arial"/>
        <w:b/>
        <w:bCs/>
        <w:color w:val="1B3A6B"/>
        <w:sz w:val="26"/>
        <w:szCs w:val="26"/>
      </w:rPr>
      <w:t xml:space="preserve">   The London School of Public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ebd6c7edc75df80b4fa770f3527f7c6290e278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2026-05-11T14:20:33.188Z</dcterms:created>
  <dcterms:modified xsi:type="dcterms:W3CDTF">2026-05-11T14:20:33.189Z</dcterms:modified>
</cp:coreProperties>
</file>

<file path=docProps/custom.xml><?xml version="1.0" encoding="utf-8"?>
<Properties xmlns="http://schemas.openxmlformats.org/officeDocument/2006/custom-properties" xmlns:vt="http://schemas.openxmlformats.org/officeDocument/2006/docPropsVTypes"/>
</file>