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F1EA" w14:textId="77777777" w:rsidR="009E3529" w:rsidRDefault="009E3529">
      <w:pPr>
        <w:spacing w:after="80"/>
      </w:pPr>
    </w:p>
    <w:p w14:paraId="3E577154" w14:textId="77777777" w:rsidR="009E3529" w:rsidRDefault="00000000">
      <w:pPr>
        <w:spacing w:before="80" w:after="40"/>
      </w:pPr>
      <w:r>
        <w:rPr>
          <w:b/>
          <w:bCs/>
          <w:color w:val="1B3A6B"/>
          <w:sz w:val="46"/>
          <w:szCs w:val="46"/>
        </w:rPr>
        <w:t>Health &amp; Safety Policy</w:t>
      </w:r>
    </w:p>
    <w:p w14:paraId="3BA37CC1" w14:textId="77777777" w:rsidR="009E3529" w:rsidRDefault="00000000">
      <w:pPr>
        <w:pBdr>
          <w:bottom w:val="single" w:sz="8" w:space="4" w:color="2E75B6"/>
        </w:pBdr>
        <w:spacing w:after="200"/>
      </w:pPr>
      <w:r>
        <w:rPr>
          <w:color w:val="555555"/>
        </w:rPr>
        <w:t>TLSPH LTD  |  The London School of Public Health</w:t>
      </w:r>
    </w:p>
    <w:p w14:paraId="09F5DEC5" w14:textId="77777777" w:rsidR="009E3529" w:rsidRDefault="009E35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4416880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6FD933" w14:textId="77777777" w:rsidR="009E3529"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5EC44C2" w14:textId="77777777" w:rsidR="009E3529" w:rsidRDefault="00000000">
            <w:r>
              <w:rPr>
                <w:sz w:val="20"/>
                <w:szCs w:val="20"/>
              </w:rPr>
              <w:t>TLSPH-POL-010</w:t>
            </w:r>
          </w:p>
        </w:tc>
      </w:tr>
    </w:tbl>
    <w:p w14:paraId="2F6DBF00"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385D344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04534E6" w14:textId="77777777" w:rsidR="009E3529"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A0B237D" w14:textId="77777777" w:rsidR="009E3529" w:rsidRDefault="00000000">
            <w:r>
              <w:rPr>
                <w:sz w:val="20"/>
                <w:szCs w:val="20"/>
              </w:rPr>
              <w:t>1.0</w:t>
            </w:r>
          </w:p>
        </w:tc>
      </w:tr>
    </w:tbl>
    <w:p w14:paraId="6AAB2E4E"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0D2018D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41C4E1D" w14:textId="77777777" w:rsidR="009E3529"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CED77F8" w14:textId="77777777" w:rsidR="009E3529" w:rsidRDefault="00000000">
            <w:r>
              <w:rPr>
                <w:sz w:val="20"/>
                <w:szCs w:val="20"/>
              </w:rPr>
              <w:t>June 2025</w:t>
            </w:r>
          </w:p>
        </w:tc>
      </w:tr>
    </w:tbl>
    <w:p w14:paraId="2366EA32"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672E795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334912" w14:textId="77777777" w:rsidR="009E3529"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0870743" w14:textId="77777777" w:rsidR="009E3529" w:rsidRDefault="00000000">
            <w:r>
              <w:rPr>
                <w:sz w:val="20"/>
                <w:szCs w:val="20"/>
              </w:rPr>
              <w:t>June 2026</w:t>
            </w:r>
          </w:p>
        </w:tc>
      </w:tr>
    </w:tbl>
    <w:p w14:paraId="7CF2F7CB"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5E2DDF4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0190F20" w14:textId="77777777" w:rsidR="009E3529"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C65F327" w14:textId="77777777" w:rsidR="009E3529" w:rsidRDefault="00000000">
            <w:r>
              <w:rPr>
                <w:sz w:val="20"/>
                <w:szCs w:val="20"/>
              </w:rPr>
              <w:t>Senior Leadership Team</w:t>
            </w:r>
          </w:p>
        </w:tc>
      </w:tr>
    </w:tbl>
    <w:p w14:paraId="20DC9FC2"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72CBD7C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AE9A8F2" w14:textId="77777777" w:rsidR="009E3529"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1033318" w14:textId="77777777" w:rsidR="009E3529" w:rsidRDefault="00000000">
            <w:r>
              <w:rPr>
                <w:sz w:val="20"/>
                <w:szCs w:val="20"/>
              </w:rPr>
              <w:t>All staff, tutors, contractors and volunteers engaged by TLSPH LTD</w:t>
            </w:r>
          </w:p>
        </w:tc>
      </w:tr>
    </w:tbl>
    <w:p w14:paraId="11214EF4"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62EA471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5DE9013" w14:textId="77777777" w:rsidR="009E3529"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64A13E7" w14:textId="77777777" w:rsidR="009E3529" w:rsidRDefault="00000000">
            <w:r>
              <w:rPr>
                <w:sz w:val="20"/>
                <w:szCs w:val="20"/>
              </w:rPr>
              <w:t>Health and Safety at Work etc. Act 1974 | Management of Health and Safety at Work Regulations 1999 (SI 1999/3242) | Display Screen Equipment (DSE) Regulations 1992 (SI 1992/2792, as amended) | Workplace (Health, Safety and Welfare) Regulations 1992 | Reporting of Injuries, Diseases and Dangerous Occurrences Regulations 2013 (RIDDOR) (SI 2013/1471) | Health and Safety (First Aid) Regulations 1981 | Equality Act 2010 | Health and Safety Executive (HSE) guidance</w:t>
            </w:r>
          </w:p>
        </w:tc>
      </w:tr>
    </w:tbl>
    <w:p w14:paraId="50B5B304" w14:textId="77777777" w:rsidR="009E3529" w:rsidRDefault="009E3529">
      <w:pPr>
        <w:spacing w:after="80"/>
      </w:pPr>
    </w:p>
    <w:p w14:paraId="65A177BE" w14:textId="77777777" w:rsidR="009E3529" w:rsidRDefault="009E35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E3529" w14:paraId="598D903F"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7E7BA550" w14:textId="77777777" w:rsidR="009E3529" w:rsidRDefault="00000000">
            <w:pPr>
              <w:spacing w:after="60"/>
            </w:pPr>
            <w:r>
              <w:rPr>
                <w:b/>
                <w:bCs/>
                <w:color w:val="1A7A4A"/>
                <w:sz w:val="21"/>
                <w:szCs w:val="21"/>
              </w:rPr>
              <w:t>Statement of Intent</w:t>
            </w:r>
          </w:p>
          <w:p w14:paraId="6881E07A" w14:textId="77777777" w:rsidR="009E3529" w:rsidRDefault="00000000">
            <w:pPr>
              <w:spacing w:before="10" w:after="10"/>
            </w:pPr>
            <w:r>
              <w:rPr>
                <w:sz w:val="20"/>
                <w:szCs w:val="20"/>
              </w:rPr>
              <w:t>TLSPH LTD is committed to ensuring, so far as is reasonably practicable, the health, safety, and welfare of all its staff, tutors, contractors, and visitors. As an entirely online organisation, our primary health and safety obligations relate to remote and home working, display screen equipment, and staff mental health and wellbeing. This policy fulfils our statutory duties under the Health and Safety at Work etc. Act 1974.</w:t>
            </w:r>
          </w:p>
        </w:tc>
      </w:tr>
    </w:tbl>
    <w:p w14:paraId="26E39841" w14:textId="77777777" w:rsidR="009E3529" w:rsidRDefault="009E3529">
      <w:pPr>
        <w:spacing w:after="80"/>
      </w:pPr>
    </w:p>
    <w:p w14:paraId="0454C784" w14:textId="77777777" w:rsidR="009E3529" w:rsidRDefault="00000000">
      <w:pPr>
        <w:pBdr>
          <w:bottom w:val="single" w:sz="6" w:space="4" w:color="2E75B6"/>
        </w:pBdr>
        <w:spacing w:before="320" w:after="120"/>
      </w:pPr>
      <w:r>
        <w:rPr>
          <w:b/>
          <w:bCs/>
          <w:color w:val="1B3A6B"/>
          <w:sz w:val="28"/>
          <w:szCs w:val="28"/>
        </w:rPr>
        <w:t>1. Purpose and Legal Duty</w:t>
      </w:r>
    </w:p>
    <w:p w14:paraId="4376B485" w14:textId="77777777" w:rsidR="009E3529" w:rsidRDefault="00000000">
      <w:pPr>
        <w:spacing w:before="60" w:after="100"/>
      </w:pPr>
      <w:r>
        <w:t>Under section 2 of the Health and Safety at Work etc. Act 1974, TLSPH LTD (referred to as "TLSPH") has a general duty to ensure, so far as is reasonably practicable, the health, safety, and welfare at work of all its employees. Under section 3, TLSPH also has duties towards contractors and others affected by its undertakings.</w:t>
      </w:r>
    </w:p>
    <w:p w14:paraId="3BF83A8B" w14:textId="77777777" w:rsidR="009E3529" w:rsidRDefault="00000000">
      <w:pPr>
        <w:spacing w:before="60" w:after="100"/>
      </w:pPr>
      <w:r>
        <w:t>The Management of Health and Safety at Work Regulations 1999 require TLSPH to carry out suitable and sufficient risk assessments of all work activities and to implement appropriate preventive and protective measures.</w:t>
      </w:r>
    </w:p>
    <w:p w14:paraId="3CEAB35F" w14:textId="77777777" w:rsidR="009E3529" w:rsidRDefault="00000000">
      <w:pPr>
        <w:spacing w:before="60" w:after="100"/>
      </w:pPr>
      <w:r>
        <w:lastRenderedPageBreak/>
        <w:t>As TLSPH operates entirely online with all staff and tutors working remotely, the key risk areas are:</w:t>
      </w:r>
    </w:p>
    <w:p w14:paraId="12F02B4A" w14:textId="77777777" w:rsidR="009E3529" w:rsidRDefault="00000000">
      <w:pPr>
        <w:pStyle w:val="ListParagraph"/>
        <w:numPr>
          <w:ilvl w:val="0"/>
          <w:numId w:val="2"/>
        </w:numPr>
        <w:spacing w:before="40" w:after="40"/>
      </w:pPr>
      <w:r>
        <w:t>Home and remote working environments</w:t>
      </w:r>
    </w:p>
    <w:p w14:paraId="22B97F51" w14:textId="77777777" w:rsidR="009E3529" w:rsidRDefault="00000000">
      <w:pPr>
        <w:pStyle w:val="ListParagraph"/>
        <w:numPr>
          <w:ilvl w:val="0"/>
          <w:numId w:val="2"/>
        </w:numPr>
        <w:spacing w:before="40" w:after="40"/>
      </w:pPr>
      <w:r>
        <w:t>Display screen equipment (DSE) use</w:t>
      </w:r>
    </w:p>
    <w:p w14:paraId="4155FA34" w14:textId="77777777" w:rsidR="009E3529" w:rsidRDefault="00000000">
      <w:pPr>
        <w:pStyle w:val="ListParagraph"/>
        <w:numPr>
          <w:ilvl w:val="0"/>
          <w:numId w:val="2"/>
        </w:numPr>
        <w:spacing w:before="40" w:after="40"/>
      </w:pPr>
      <w:r>
        <w:t>Staff mental health and psychological wellbeing</w:t>
      </w:r>
    </w:p>
    <w:p w14:paraId="1A6C6413" w14:textId="77777777" w:rsidR="009E3529" w:rsidRDefault="00000000">
      <w:pPr>
        <w:pStyle w:val="ListParagraph"/>
        <w:numPr>
          <w:ilvl w:val="0"/>
          <w:numId w:val="2"/>
        </w:numPr>
        <w:spacing w:before="40" w:after="40"/>
      </w:pPr>
      <w:r>
        <w:t>Manual handling where applicable to home office set-up</w:t>
      </w:r>
    </w:p>
    <w:p w14:paraId="4B47F5CF" w14:textId="77777777" w:rsidR="009E3529" w:rsidRDefault="00000000">
      <w:pPr>
        <w:pStyle w:val="ListParagraph"/>
        <w:numPr>
          <w:ilvl w:val="0"/>
          <w:numId w:val="2"/>
        </w:numPr>
        <w:spacing w:before="40" w:after="40"/>
      </w:pPr>
      <w:r>
        <w:t>Lone working</w:t>
      </w:r>
    </w:p>
    <w:p w14:paraId="22ADD5ED" w14:textId="77777777" w:rsidR="009E3529" w:rsidRDefault="009E3529">
      <w:pPr>
        <w:spacing w:after="80"/>
      </w:pPr>
    </w:p>
    <w:p w14:paraId="01F4A2C5" w14:textId="77777777" w:rsidR="009E3529" w:rsidRDefault="00000000">
      <w:pPr>
        <w:pBdr>
          <w:bottom w:val="single" w:sz="6" w:space="4" w:color="2E75B6"/>
        </w:pBdr>
        <w:spacing w:before="320" w:after="120"/>
      </w:pPr>
      <w:r>
        <w:rPr>
          <w:b/>
          <w:bCs/>
          <w:color w:val="1B3A6B"/>
          <w:sz w:val="28"/>
          <w:szCs w:val="28"/>
        </w:rPr>
        <w:t>2. Responsibilities</w:t>
      </w:r>
    </w:p>
    <w:p w14:paraId="2114FF7D" w14:textId="77777777" w:rsidR="009E3529" w:rsidRDefault="00000000">
      <w:pPr>
        <w:spacing w:before="220" w:after="80"/>
      </w:pPr>
      <w:r>
        <w:rPr>
          <w:b/>
          <w:bCs/>
          <w:color w:val="2E75B6"/>
          <w:sz w:val="24"/>
          <w:szCs w:val="24"/>
        </w:rPr>
        <w:t>2.1 Senior Leadership Team</w:t>
      </w:r>
    </w:p>
    <w:p w14:paraId="3D9A206D" w14:textId="77777777" w:rsidR="009E3529" w:rsidRDefault="00000000">
      <w:pPr>
        <w:pStyle w:val="ListParagraph"/>
        <w:numPr>
          <w:ilvl w:val="0"/>
          <w:numId w:val="2"/>
        </w:numPr>
        <w:spacing w:before="40" w:after="40"/>
      </w:pPr>
      <w:r>
        <w:t>Has overall accountability for health and safety across TLSPH</w:t>
      </w:r>
    </w:p>
    <w:p w14:paraId="5CDAC10D" w14:textId="77777777" w:rsidR="009E3529" w:rsidRDefault="00000000">
      <w:pPr>
        <w:pStyle w:val="ListParagraph"/>
        <w:numPr>
          <w:ilvl w:val="0"/>
          <w:numId w:val="2"/>
        </w:numPr>
        <w:spacing w:before="40" w:after="40"/>
      </w:pPr>
      <w:r>
        <w:t>Ensures adequate resources are allocated for health and safety compliance</w:t>
      </w:r>
    </w:p>
    <w:p w14:paraId="4F2CE630" w14:textId="77777777" w:rsidR="009E3529" w:rsidRDefault="00000000">
      <w:pPr>
        <w:pStyle w:val="ListParagraph"/>
        <w:numPr>
          <w:ilvl w:val="0"/>
          <w:numId w:val="2"/>
        </w:numPr>
        <w:spacing w:before="40" w:after="40"/>
      </w:pPr>
      <w:r>
        <w:t>Reviews this policy annually and following any significant incident</w:t>
      </w:r>
    </w:p>
    <w:p w14:paraId="0887B0CF" w14:textId="77777777" w:rsidR="009E3529" w:rsidRDefault="00000000">
      <w:pPr>
        <w:pStyle w:val="ListParagraph"/>
        <w:numPr>
          <w:ilvl w:val="0"/>
          <w:numId w:val="2"/>
        </w:numPr>
        <w:spacing w:before="40" w:after="40"/>
      </w:pPr>
      <w:r>
        <w:t>Ensures all staff complete appropriate health and safety induction and training</w:t>
      </w:r>
    </w:p>
    <w:p w14:paraId="5896A1DB" w14:textId="77777777" w:rsidR="009E3529" w:rsidRDefault="00000000">
      <w:pPr>
        <w:pStyle w:val="ListParagraph"/>
        <w:numPr>
          <w:ilvl w:val="0"/>
          <w:numId w:val="2"/>
        </w:numPr>
        <w:spacing w:before="40" w:after="40"/>
      </w:pPr>
      <w:r>
        <w:t>Reports and records any accidents, injuries, or near-misses in accordance with RIDDOR 2013</w:t>
      </w:r>
    </w:p>
    <w:p w14:paraId="25CC324A" w14:textId="77777777" w:rsidR="009E3529" w:rsidRDefault="00000000">
      <w:pPr>
        <w:spacing w:before="220" w:after="80"/>
      </w:pPr>
      <w:r>
        <w:rPr>
          <w:b/>
          <w:bCs/>
          <w:color w:val="2E75B6"/>
          <w:sz w:val="24"/>
          <w:szCs w:val="24"/>
        </w:rPr>
        <w:t>2.2 All Staff and Tutors</w:t>
      </w:r>
    </w:p>
    <w:p w14:paraId="25B211A8" w14:textId="77777777" w:rsidR="009E3529" w:rsidRDefault="00000000">
      <w:pPr>
        <w:pStyle w:val="ListParagraph"/>
        <w:numPr>
          <w:ilvl w:val="0"/>
          <w:numId w:val="2"/>
        </w:numPr>
        <w:spacing w:before="40" w:after="40"/>
      </w:pPr>
      <w:r>
        <w:t>Take reasonable care of their own health and safety and that of others who may be affected by their work</w:t>
      </w:r>
    </w:p>
    <w:p w14:paraId="3B5C2C87" w14:textId="77777777" w:rsidR="009E3529" w:rsidRDefault="00000000">
      <w:pPr>
        <w:pStyle w:val="ListParagraph"/>
        <w:numPr>
          <w:ilvl w:val="0"/>
          <w:numId w:val="2"/>
        </w:numPr>
        <w:spacing w:before="40" w:after="40"/>
      </w:pPr>
      <w:r>
        <w:t>Co-operate with TLSPH on health and safety matters</w:t>
      </w:r>
    </w:p>
    <w:p w14:paraId="5A25105B" w14:textId="77777777" w:rsidR="009E3529" w:rsidRDefault="00000000">
      <w:pPr>
        <w:pStyle w:val="ListParagraph"/>
        <w:numPr>
          <w:ilvl w:val="0"/>
          <w:numId w:val="2"/>
        </w:numPr>
        <w:spacing w:before="40" w:after="40"/>
      </w:pPr>
      <w:r>
        <w:t>Report any health and safety concerns, accidents, or near-misses to the Senior Leadership Team promptly</w:t>
      </w:r>
    </w:p>
    <w:p w14:paraId="5AF160AD" w14:textId="77777777" w:rsidR="009E3529" w:rsidRDefault="00000000">
      <w:pPr>
        <w:pStyle w:val="ListParagraph"/>
        <w:numPr>
          <w:ilvl w:val="0"/>
          <w:numId w:val="2"/>
        </w:numPr>
        <w:spacing w:before="40" w:after="40"/>
      </w:pPr>
      <w:r>
        <w:t>Complete the DSE self-assessment for their home working set-up</w:t>
      </w:r>
    </w:p>
    <w:p w14:paraId="7916C315" w14:textId="77777777" w:rsidR="009E3529" w:rsidRDefault="00000000">
      <w:pPr>
        <w:pStyle w:val="ListParagraph"/>
        <w:numPr>
          <w:ilvl w:val="0"/>
          <w:numId w:val="2"/>
        </w:numPr>
        <w:spacing w:before="40" w:after="40"/>
      </w:pPr>
      <w:r>
        <w:t>Not misuse or interfere with anything provided in the interests of health and safety</w:t>
      </w:r>
    </w:p>
    <w:p w14:paraId="7946EE97" w14:textId="77777777" w:rsidR="009E3529" w:rsidRDefault="009E3529">
      <w:pPr>
        <w:spacing w:after="80"/>
      </w:pPr>
    </w:p>
    <w:p w14:paraId="313C21B3" w14:textId="77777777" w:rsidR="009E3529" w:rsidRDefault="00000000">
      <w:pPr>
        <w:pBdr>
          <w:bottom w:val="single" w:sz="6" w:space="4" w:color="2E75B6"/>
        </w:pBdr>
        <w:spacing w:before="320" w:after="120"/>
      </w:pPr>
      <w:r>
        <w:rPr>
          <w:b/>
          <w:bCs/>
          <w:color w:val="1B3A6B"/>
          <w:sz w:val="28"/>
          <w:szCs w:val="28"/>
        </w:rPr>
        <w:t>3. Remote and Home Working</w:t>
      </w:r>
    </w:p>
    <w:p w14:paraId="6AE599D4" w14:textId="77777777" w:rsidR="009E3529" w:rsidRDefault="00000000">
      <w:pPr>
        <w:spacing w:before="60" w:after="100"/>
      </w:pPr>
      <w:r>
        <w:t>As all TLSPH staff and tutors work remotely, TLSPH will:</w:t>
      </w:r>
    </w:p>
    <w:p w14:paraId="054B5700" w14:textId="77777777" w:rsidR="009E3529" w:rsidRDefault="00000000">
      <w:pPr>
        <w:pStyle w:val="ListParagraph"/>
        <w:numPr>
          <w:ilvl w:val="0"/>
          <w:numId w:val="2"/>
        </w:numPr>
        <w:spacing w:before="40" w:after="40"/>
      </w:pPr>
      <w:r>
        <w:t>Provide all new staff with a Home Working Health and Safety Checklist to complete before commencing work</w:t>
      </w:r>
    </w:p>
    <w:p w14:paraId="36554D94" w14:textId="77777777" w:rsidR="009E3529" w:rsidRDefault="00000000">
      <w:pPr>
        <w:pStyle w:val="ListParagraph"/>
        <w:numPr>
          <w:ilvl w:val="0"/>
          <w:numId w:val="2"/>
        </w:numPr>
        <w:spacing w:before="40" w:after="40"/>
      </w:pPr>
      <w:r>
        <w:t>Carry out a DSE risk assessment for all staff who regularly use display screen equipment, in accordance with the Health and Safety (Display Screen Equipment) Regulations 1992</w:t>
      </w:r>
    </w:p>
    <w:p w14:paraId="018DF18C" w14:textId="77777777" w:rsidR="009E3529" w:rsidRDefault="00000000">
      <w:pPr>
        <w:pStyle w:val="ListParagraph"/>
        <w:numPr>
          <w:ilvl w:val="0"/>
          <w:numId w:val="2"/>
        </w:numPr>
        <w:spacing w:before="40" w:after="40"/>
      </w:pPr>
      <w:r>
        <w:t>Provide guidance on setting up an ergonomic workstation, including chair height, monitor position, keyboard and mouse placement, and lighting</w:t>
      </w:r>
    </w:p>
    <w:p w14:paraId="3D7845FA" w14:textId="77777777" w:rsidR="009E3529" w:rsidRDefault="00000000">
      <w:pPr>
        <w:pStyle w:val="ListParagraph"/>
        <w:numPr>
          <w:ilvl w:val="0"/>
          <w:numId w:val="2"/>
        </w:numPr>
        <w:spacing w:before="40" w:after="40"/>
      </w:pPr>
      <w:r>
        <w:t>Ensure that staff working from home have access to appropriate equipment and that any significant DSE-related health issues are addressed with reasonable adjustments where required</w:t>
      </w:r>
    </w:p>
    <w:p w14:paraId="4A21518D" w14:textId="77777777" w:rsidR="009E3529" w:rsidRDefault="00000000">
      <w:pPr>
        <w:pStyle w:val="ListParagraph"/>
        <w:numPr>
          <w:ilvl w:val="0"/>
          <w:numId w:val="2"/>
        </w:numPr>
        <w:spacing w:before="40" w:after="40"/>
      </w:pPr>
      <w:r>
        <w:t>Advise staff on taking regular breaks from screen-based work, in accordance with HSE guidance on DSE use</w:t>
      </w:r>
    </w:p>
    <w:p w14:paraId="7B426955" w14:textId="77777777" w:rsidR="009E3529" w:rsidRDefault="009E3529">
      <w:pPr>
        <w:spacing w:after="80"/>
      </w:pPr>
    </w:p>
    <w:p w14:paraId="3DCFDD49" w14:textId="77777777" w:rsidR="009E3529" w:rsidRDefault="00000000">
      <w:pPr>
        <w:pBdr>
          <w:bottom w:val="single" w:sz="6" w:space="4" w:color="2E75B6"/>
        </w:pBdr>
        <w:spacing w:before="320" w:after="120"/>
      </w:pPr>
      <w:r>
        <w:rPr>
          <w:b/>
          <w:bCs/>
          <w:color w:val="1B3A6B"/>
          <w:sz w:val="28"/>
          <w:szCs w:val="28"/>
        </w:rPr>
        <w:t>4. Mental Health and Wellbeing</w:t>
      </w:r>
    </w:p>
    <w:p w14:paraId="6A6919A6" w14:textId="77777777" w:rsidR="009E3529" w:rsidRDefault="00000000">
      <w:pPr>
        <w:spacing w:before="60" w:after="100"/>
      </w:pPr>
      <w:r>
        <w:lastRenderedPageBreak/>
        <w:t>TLSPH recognises that remote working can present specific risks to mental health, including isolation, overwork, and difficulty maintaining work-life boundaries. TLSPH will:</w:t>
      </w:r>
    </w:p>
    <w:p w14:paraId="5D09F73B" w14:textId="77777777" w:rsidR="009E3529" w:rsidRDefault="00000000">
      <w:pPr>
        <w:pStyle w:val="ListParagraph"/>
        <w:numPr>
          <w:ilvl w:val="0"/>
          <w:numId w:val="2"/>
        </w:numPr>
        <w:spacing w:before="40" w:after="40"/>
      </w:pPr>
      <w:r>
        <w:t>Foster a culture in which staff feel able to raise concerns about their mental health without fear of stigma</w:t>
      </w:r>
    </w:p>
    <w:p w14:paraId="625E6AEC" w14:textId="77777777" w:rsidR="009E3529" w:rsidRDefault="00000000">
      <w:pPr>
        <w:pStyle w:val="ListParagraph"/>
        <w:numPr>
          <w:ilvl w:val="0"/>
          <w:numId w:val="2"/>
        </w:numPr>
        <w:spacing w:before="40" w:after="40"/>
      </w:pPr>
      <w:r>
        <w:t>Ensure that workloads are regularly reviewed and are manageable</w:t>
      </w:r>
    </w:p>
    <w:p w14:paraId="5B38CD6E" w14:textId="77777777" w:rsidR="009E3529" w:rsidRDefault="00000000">
      <w:pPr>
        <w:pStyle w:val="ListParagraph"/>
        <w:numPr>
          <w:ilvl w:val="0"/>
          <w:numId w:val="2"/>
        </w:numPr>
        <w:spacing w:before="40" w:after="40"/>
      </w:pPr>
      <w:r>
        <w:t>Encourage staff to maintain clear working hours and take regular breaks and annual leave</w:t>
      </w:r>
    </w:p>
    <w:p w14:paraId="2D2DCBCE" w14:textId="77777777" w:rsidR="009E3529" w:rsidRDefault="00000000">
      <w:pPr>
        <w:pStyle w:val="ListParagraph"/>
        <w:numPr>
          <w:ilvl w:val="0"/>
          <w:numId w:val="2"/>
        </w:numPr>
        <w:spacing w:before="40" w:after="40"/>
      </w:pPr>
      <w:r>
        <w:t>Signpost staff to relevant mental health support resources, including the NHS Every Mind Matters programme (www.nhs.uk/every-mind-matters) and the Employee Assistance Programme where available</w:t>
      </w:r>
    </w:p>
    <w:p w14:paraId="50F06551" w14:textId="77777777" w:rsidR="009E3529" w:rsidRDefault="00000000">
      <w:pPr>
        <w:pStyle w:val="ListParagraph"/>
        <w:numPr>
          <w:ilvl w:val="0"/>
          <w:numId w:val="2"/>
        </w:numPr>
        <w:spacing w:before="40" w:after="40"/>
      </w:pPr>
      <w:r>
        <w:t>Include mental health awareness in the induction process for all staff</w:t>
      </w:r>
    </w:p>
    <w:p w14:paraId="316BB935" w14:textId="77777777" w:rsidR="009E3529" w:rsidRDefault="009E3529">
      <w:pPr>
        <w:spacing w:after="80"/>
      </w:pPr>
    </w:p>
    <w:p w14:paraId="0CACE57F" w14:textId="77777777" w:rsidR="009E3529" w:rsidRDefault="00000000">
      <w:pPr>
        <w:pBdr>
          <w:bottom w:val="single" w:sz="6" w:space="4" w:color="2E75B6"/>
        </w:pBdr>
        <w:spacing w:before="320" w:after="120"/>
      </w:pPr>
      <w:r>
        <w:rPr>
          <w:b/>
          <w:bCs/>
          <w:color w:val="1B3A6B"/>
          <w:sz w:val="28"/>
          <w:szCs w:val="28"/>
        </w:rPr>
        <w:t>5. Accident Reporting and RIDDOR</w:t>
      </w:r>
    </w:p>
    <w:p w14:paraId="5FECF84D" w14:textId="77777777" w:rsidR="009E3529" w:rsidRDefault="00000000">
      <w:pPr>
        <w:spacing w:before="60" w:after="100"/>
      </w:pPr>
      <w:r>
        <w:t>All accidents, injuries, dangerous occurrences, and near-misses connected with TLSPH's work activities must be reported to the Senior Leadership Team as soon as possible.</w:t>
      </w:r>
    </w:p>
    <w:p w14:paraId="20FE8089" w14:textId="77777777" w:rsidR="009E3529" w:rsidRDefault="00000000">
      <w:pPr>
        <w:spacing w:before="60" w:after="100"/>
      </w:pPr>
      <w:r>
        <w:t>Under the Reporting of Injuries, Diseases and Dangerous Occurrences Regulations 2013 (RIDDOR), TLSPH must report certain categories of work-related injury and illness to the Health and Safety Executive (HSE). These include:</w:t>
      </w:r>
    </w:p>
    <w:p w14:paraId="5E95C416" w14:textId="77777777" w:rsidR="009E3529" w:rsidRDefault="00000000">
      <w:pPr>
        <w:pStyle w:val="ListParagraph"/>
        <w:numPr>
          <w:ilvl w:val="0"/>
          <w:numId w:val="2"/>
        </w:numPr>
        <w:spacing w:before="40" w:after="40"/>
      </w:pPr>
      <w:r>
        <w:t>Deaths and specified injuries to workers</w:t>
      </w:r>
    </w:p>
    <w:p w14:paraId="3290624D" w14:textId="77777777" w:rsidR="009E3529" w:rsidRDefault="00000000">
      <w:pPr>
        <w:pStyle w:val="ListParagraph"/>
        <w:numPr>
          <w:ilvl w:val="0"/>
          <w:numId w:val="2"/>
        </w:numPr>
        <w:spacing w:before="40" w:after="40"/>
      </w:pPr>
      <w:r>
        <w:t>Over-seven-day incapacitation of a worker</w:t>
      </w:r>
    </w:p>
    <w:p w14:paraId="6817E36F" w14:textId="77777777" w:rsidR="009E3529" w:rsidRDefault="00000000">
      <w:pPr>
        <w:pStyle w:val="ListParagraph"/>
        <w:numPr>
          <w:ilvl w:val="0"/>
          <w:numId w:val="2"/>
        </w:numPr>
        <w:spacing w:before="40" w:after="40"/>
      </w:pPr>
      <w:r>
        <w:t>Work-related illnesses, including occupational musculoskeletal disorders associated with DSE use</w:t>
      </w:r>
    </w:p>
    <w:p w14:paraId="777D13C1" w14:textId="77777777" w:rsidR="009E3529" w:rsidRDefault="00000000">
      <w:pPr>
        <w:pStyle w:val="ListParagraph"/>
        <w:numPr>
          <w:ilvl w:val="0"/>
          <w:numId w:val="2"/>
        </w:numPr>
        <w:spacing w:before="40" w:after="40"/>
      </w:pPr>
      <w:r>
        <w:t>Dangerous occurrences</w:t>
      </w:r>
    </w:p>
    <w:p w14:paraId="146BCBAD" w14:textId="77777777" w:rsidR="009E3529" w:rsidRDefault="009E3529">
      <w:pPr>
        <w:spacing w:after="80"/>
      </w:pPr>
    </w:p>
    <w:p w14:paraId="0671695E" w14:textId="77777777" w:rsidR="009E3529" w:rsidRDefault="00000000">
      <w:pPr>
        <w:spacing w:before="60" w:after="100"/>
      </w:pPr>
      <w:r>
        <w:t>RIDDOR reports are made online via the HSE website: www.hse.gov.uk/riddor. All accidents and incidents are recorded in the TLSPH Accident Log, maintained by the Senior Leadership Team.</w:t>
      </w:r>
    </w:p>
    <w:p w14:paraId="47E3F37F" w14:textId="77777777" w:rsidR="009E3529" w:rsidRDefault="009E3529">
      <w:pPr>
        <w:spacing w:after="80"/>
      </w:pPr>
    </w:p>
    <w:p w14:paraId="0F011965" w14:textId="77777777" w:rsidR="009E3529" w:rsidRDefault="00000000">
      <w:pPr>
        <w:pBdr>
          <w:bottom w:val="single" w:sz="6" w:space="4" w:color="2E75B6"/>
        </w:pBdr>
        <w:spacing w:before="320" w:after="120"/>
      </w:pPr>
      <w:r>
        <w:rPr>
          <w:b/>
          <w:bCs/>
          <w:color w:val="1B3A6B"/>
          <w:sz w:val="28"/>
          <w:szCs w:val="28"/>
        </w:rPr>
        <w:t>6. First Aid</w:t>
      </w:r>
    </w:p>
    <w:p w14:paraId="3837EB65" w14:textId="77777777" w:rsidR="009E3529" w:rsidRDefault="00000000">
      <w:pPr>
        <w:spacing w:before="60" w:after="100"/>
      </w:pPr>
      <w:r>
        <w:t>In accordance with the Health and Safety (First Aid) Regulations 1981, TLSPH will ensure that appropriate first aid arrangements are in place. As a remote organisation, each member of staff is responsible for ensuring access to basic first aid provision in their home working environment. TLSPH will ensure that at least one member of the Senior Leadership Team holds a current first aid qualification.</w:t>
      </w:r>
    </w:p>
    <w:p w14:paraId="544E41E7" w14:textId="77777777" w:rsidR="009E3529" w:rsidRDefault="009E3529">
      <w:pPr>
        <w:spacing w:after="80"/>
      </w:pPr>
    </w:p>
    <w:p w14:paraId="59432E4E" w14:textId="77777777" w:rsidR="009E3529" w:rsidRDefault="00000000">
      <w:pPr>
        <w:pBdr>
          <w:bottom w:val="single" w:sz="6" w:space="4" w:color="2E75B6"/>
        </w:pBdr>
        <w:spacing w:before="320" w:after="120"/>
      </w:pPr>
      <w:r>
        <w:rPr>
          <w:b/>
          <w:bCs/>
          <w:color w:val="1B3A6B"/>
          <w:sz w:val="28"/>
          <w:szCs w:val="28"/>
        </w:rPr>
        <w:t>7. Risk Assessment</w:t>
      </w:r>
    </w:p>
    <w:p w14:paraId="01545C0D" w14:textId="77777777" w:rsidR="009E3529" w:rsidRDefault="00000000">
      <w:pPr>
        <w:spacing w:before="60" w:after="100"/>
      </w:pPr>
      <w:r>
        <w:t>TLSPH will maintain a written record of its health and safety risk assessments, as required by the Management of Health and Safety at Work Regulations 1999. Risk assessments will be reviewed:</w:t>
      </w:r>
    </w:p>
    <w:p w14:paraId="1C5C1FEA" w14:textId="77777777" w:rsidR="009E3529" w:rsidRDefault="00000000">
      <w:pPr>
        <w:pStyle w:val="ListParagraph"/>
        <w:numPr>
          <w:ilvl w:val="0"/>
          <w:numId w:val="2"/>
        </w:numPr>
        <w:spacing w:before="40" w:after="40"/>
      </w:pPr>
      <w:r>
        <w:t>Annually as part of the policy review cycle</w:t>
      </w:r>
    </w:p>
    <w:p w14:paraId="15410889" w14:textId="77777777" w:rsidR="009E3529" w:rsidRDefault="00000000">
      <w:pPr>
        <w:pStyle w:val="ListParagraph"/>
        <w:numPr>
          <w:ilvl w:val="0"/>
          <w:numId w:val="2"/>
        </w:numPr>
        <w:spacing w:before="40" w:after="40"/>
      </w:pPr>
      <w:r>
        <w:t>Following any significant change in working arrangements</w:t>
      </w:r>
    </w:p>
    <w:p w14:paraId="7AF13B68" w14:textId="77777777" w:rsidR="009E3529" w:rsidRDefault="00000000">
      <w:pPr>
        <w:pStyle w:val="ListParagraph"/>
        <w:numPr>
          <w:ilvl w:val="0"/>
          <w:numId w:val="2"/>
        </w:numPr>
        <w:spacing w:before="40" w:after="40"/>
      </w:pPr>
      <w:r>
        <w:t>Following any accident, injury, or dangerous occurrence</w:t>
      </w:r>
    </w:p>
    <w:p w14:paraId="1380FFDB" w14:textId="77777777" w:rsidR="009E3529" w:rsidRDefault="00000000">
      <w:pPr>
        <w:pStyle w:val="ListParagraph"/>
        <w:numPr>
          <w:ilvl w:val="0"/>
          <w:numId w:val="2"/>
        </w:numPr>
        <w:spacing w:before="40" w:after="40"/>
      </w:pPr>
      <w:r>
        <w:t>When new staff join TLSPH</w:t>
      </w:r>
    </w:p>
    <w:p w14:paraId="56E42230" w14:textId="77777777" w:rsidR="009E3529" w:rsidRDefault="009E3529">
      <w:pPr>
        <w:spacing w:after="80"/>
      </w:pPr>
    </w:p>
    <w:p w14:paraId="09007D08" w14:textId="77777777" w:rsidR="009E3529" w:rsidRDefault="00000000">
      <w:pPr>
        <w:pBdr>
          <w:bottom w:val="single" w:sz="6" w:space="4" w:color="2E75B6"/>
        </w:pBdr>
        <w:spacing w:before="320" w:after="120"/>
      </w:pPr>
      <w:r>
        <w:rPr>
          <w:b/>
          <w:bCs/>
          <w:color w:val="1B3A6B"/>
          <w:sz w:val="28"/>
          <w:szCs w:val="28"/>
        </w:rPr>
        <w:lastRenderedPageBreak/>
        <w:t>8. Stress and Work-Related Ill Health</w:t>
      </w:r>
    </w:p>
    <w:p w14:paraId="72C95D77" w14:textId="77777777" w:rsidR="009E3529" w:rsidRDefault="00000000">
      <w:pPr>
        <w:spacing w:before="60" w:after="100"/>
      </w:pPr>
      <w:r>
        <w:t>TLSPH has regard to the HSE's Management Standards for Work-Related Stress, which identify six key areas of work design that, if not managed properly, are associated with poor health and wellbeing. These are: Demands, Control, Support, Relationships, Role, and Change. TLSPH will use these standards to inform its approach to workload management, staff communication, and organisational change.</w:t>
      </w:r>
    </w:p>
    <w:p w14:paraId="32139BF6" w14:textId="77777777" w:rsidR="009E3529" w:rsidRDefault="009E3529">
      <w:pPr>
        <w:spacing w:after="80"/>
      </w:pPr>
    </w:p>
    <w:p w14:paraId="3552FE6A" w14:textId="77777777" w:rsidR="009E3529" w:rsidRDefault="00000000">
      <w:pPr>
        <w:pBdr>
          <w:bottom w:val="single" w:sz="6" w:space="4" w:color="2E75B6"/>
        </w:pBdr>
        <w:spacing w:before="320" w:after="120"/>
      </w:pPr>
      <w:r>
        <w:rPr>
          <w:b/>
          <w:bCs/>
          <w:color w:val="1B3A6B"/>
          <w:sz w:val="28"/>
          <w:szCs w:val="28"/>
        </w:rPr>
        <w:t>9. Equality and Reasonable Adjustments</w:t>
      </w:r>
    </w:p>
    <w:p w14:paraId="4BF6FE60" w14:textId="77777777" w:rsidR="009E3529" w:rsidRDefault="00000000">
      <w:pPr>
        <w:spacing w:before="60" w:after="100"/>
      </w:pPr>
      <w:r>
        <w:t>TLSPH recognises that health and safety arrangements must take into account individual needs. Under the Equality Act 2010, TLSPH will make reasonable adjustments to health and safety arrangements for staff with disabilities or health conditions, including provision of specialist DSE equipment where required.</w:t>
      </w:r>
    </w:p>
    <w:p w14:paraId="5D8988DB" w14:textId="77777777" w:rsidR="009E3529" w:rsidRDefault="009E3529">
      <w:pPr>
        <w:spacing w:after="80"/>
      </w:pPr>
    </w:p>
    <w:p w14:paraId="00542D8D" w14:textId="77777777" w:rsidR="009E3529" w:rsidRDefault="00000000">
      <w:pPr>
        <w:pBdr>
          <w:bottom w:val="single" w:sz="6" w:space="4" w:color="2E75B6"/>
        </w:pBdr>
        <w:spacing w:before="320" w:after="120"/>
      </w:pPr>
      <w:r>
        <w:rPr>
          <w:b/>
          <w:bCs/>
          <w:color w:val="1B3A6B"/>
          <w:sz w:val="28"/>
          <w:szCs w:val="28"/>
        </w:rPr>
        <w:t>10. Contact and Reporting</w:t>
      </w:r>
    </w:p>
    <w:p w14:paraId="38643498" w14:textId="77777777" w:rsidR="009E3529" w:rsidRDefault="009E35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73F3B1F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74271CD" w14:textId="77777777" w:rsidR="009E3529" w:rsidRDefault="00000000">
            <w:r>
              <w:rPr>
                <w:b/>
                <w:bCs/>
                <w:color w:val="1B3A6B"/>
                <w:sz w:val="20"/>
                <w:szCs w:val="20"/>
              </w:rPr>
              <w:t>Health &amp; Safety Concerns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B14B1BE" w14:textId="77777777" w:rsidR="009E3529" w:rsidRDefault="00000000">
            <w:r>
              <w:rPr>
                <w:sz w:val="20"/>
                <w:szCs w:val="20"/>
              </w:rPr>
              <w:t>info@thelondonschoolofpublichealth.com</w:t>
            </w:r>
          </w:p>
        </w:tc>
      </w:tr>
    </w:tbl>
    <w:p w14:paraId="670053A8"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35B7546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29653F0" w14:textId="77777777" w:rsidR="009E3529" w:rsidRDefault="00000000">
            <w:r>
              <w:rPr>
                <w:b/>
                <w:bCs/>
                <w:color w:val="1B3A6B"/>
                <w:sz w:val="20"/>
                <w:szCs w:val="20"/>
              </w:rPr>
              <w:t>HSE (Incident Reporting)</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C1ED3FD" w14:textId="77777777" w:rsidR="009E3529" w:rsidRDefault="00000000">
            <w:r>
              <w:rPr>
                <w:sz w:val="20"/>
                <w:szCs w:val="20"/>
              </w:rPr>
              <w:t>www.hse.gov.uk/riddor  |  0300 003 1647</w:t>
            </w:r>
          </w:p>
        </w:tc>
      </w:tr>
    </w:tbl>
    <w:p w14:paraId="552E7FF6" w14:textId="77777777" w:rsidR="009E3529" w:rsidRDefault="009E35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E3529" w14:paraId="47CB01A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3EFDA34" w14:textId="77777777" w:rsidR="009E3529" w:rsidRDefault="00000000">
            <w:r>
              <w:rPr>
                <w:b/>
                <w:bCs/>
                <w:color w:val="1B3A6B"/>
                <w:sz w:val="20"/>
                <w:szCs w:val="20"/>
              </w:rPr>
              <w:t>HSE Website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392F4ED" w14:textId="77777777" w:rsidR="009E3529" w:rsidRDefault="00000000">
            <w:r>
              <w:rPr>
                <w:sz w:val="20"/>
                <w:szCs w:val="20"/>
              </w:rPr>
              <w:t>www.hse.gov.uk</w:t>
            </w:r>
          </w:p>
        </w:tc>
      </w:tr>
    </w:tbl>
    <w:p w14:paraId="520AA660" w14:textId="77777777" w:rsidR="009E3529" w:rsidRDefault="009E3529">
      <w:pPr>
        <w:spacing w:after="80"/>
      </w:pPr>
    </w:p>
    <w:p w14:paraId="7D9D9ABF" w14:textId="77777777" w:rsidR="009E3529" w:rsidRDefault="009E35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E3529" w14:paraId="75963810"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2246847B" w14:textId="77777777" w:rsidR="009E3529" w:rsidRDefault="00000000">
            <w:pPr>
              <w:spacing w:before="40" w:after="40"/>
            </w:pPr>
            <w:r>
              <w:rPr>
                <w:b/>
                <w:bCs/>
                <w:color w:val="1B3A6B"/>
                <w:sz w:val="20"/>
                <w:szCs w:val="20"/>
              </w:rPr>
              <w:t>Policy Review</w:t>
            </w:r>
          </w:p>
          <w:p w14:paraId="0655162A" w14:textId="77777777" w:rsidR="009E3529" w:rsidRDefault="00000000">
            <w:pPr>
              <w:spacing w:before="20" w:after="20"/>
            </w:pPr>
            <w:r>
              <w:rPr>
                <w:sz w:val="19"/>
                <w:szCs w:val="19"/>
              </w:rPr>
              <w:t>This policy is reviewed annually by the Senior Leadership Team in compliance with the Health and Safety at Work etc. Act 1974, the Management of Health and Safety at Work Regulations 1999, the DSE Regulations 1992, and RIDDOR 2013. The policy will also be reviewed following any significant accident, change in working arrangements, or update to HSE guidance.</w:t>
            </w:r>
          </w:p>
          <w:p w14:paraId="093FF492" w14:textId="77777777" w:rsidR="009E3529" w:rsidRDefault="00000000">
            <w:pPr>
              <w:spacing w:before="20" w:after="40"/>
            </w:pPr>
            <w:r>
              <w:rPr>
                <w:i/>
                <w:iCs/>
                <w:color w:val="555555"/>
                <w:sz w:val="19"/>
                <w:szCs w:val="19"/>
              </w:rPr>
              <w:t>Last Reviewed: June 2025   |   Next Review Due: June 2026   |   Version: 1.0</w:t>
            </w:r>
          </w:p>
        </w:tc>
      </w:tr>
    </w:tbl>
    <w:p w14:paraId="1EF1B267" w14:textId="77777777" w:rsidR="00015163" w:rsidRDefault="00015163"/>
    <w:sectPr w:rsidR="00015163">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8B2B" w14:textId="77777777" w:rsidR="00015163" w:rsidRDefault="00015163">
      <w:r>
        <w:separator/>
      </w:r>
    </w:p>
  </w:endnote>
  <w:endnote w:type="continuationSeparator" w:id="0">
    <w:p w14:paraId="766BB304" w14:textId="77777777" w:rsidR="00015163" w:rsidRDefault="0001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A9F4" w14:textId="77777777" w:rsidR="009E3529" w:rsidRDefault="00000000">
    <w:pPr>
      <w:pBdr>
        <w:top w:val="single" w:sz="4" w:space="4" w:color="2E75B6"/>
      </w:pBdr>
      <w:spacing w:before="80"/>
    </w:pPr>
    <w:r>
      <w:rPr>
        <w:color w:val="888888"/>
        <w:sz w:val="16"/>
        <w:szCs w:val="16"/>
      </w:rPr>
      <w:t>Health &amp; Safety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562F" w14:textId="77777777" w:rsidR="00015163" w:rsidRDefault="00015163">
      <w:r>
        <w:separator/>
      </w:r>
    </w:p>
  </w:footnote>
  <w:footnote w:type="continuationSeparator" w:id="0">
    <w:p w14:paraId="7B3A2F1D" w14:textId="77777777" w:rsidR="00015163" w:rsidRDefault="0001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8ED0" w14:textId="77777777" w:rsidR="009E3529" w:rsidRDefault="00000000">
    <w:pPr>
      <w:pBdr>
        <w:bottom w:val="single" w:sz="6" w:space="6" w:color="2E75B6"/>
      </w:pBdr>
    </w:pPr>
    <w:r>
      <w:rPr>
        <w:noProof/>
      </w:rPr>
      <w:drawing>
        <wp:inline distT="0" distB="0" distL="0" distR="0" wp14:anchorId="25785CFE" wp14:editId="15943213">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D52"/>
    <w:multiLevelType w:val="hybridMultilevel"/>
    <w:tmpl w:val="04FA693C"/>
    <w:lvl w:ilvl="0" w:tplc="7B44815C">
      <w:start w:val="1"/>
      <w:numFmt w:val="bullet"/>
      <w:lvlText w:val="●"/>
      <w:lvlJc w:val="left"/>
      <w:pPr>
        <w:ind w:left="720" w:hanging="360"/>
      </w:pPr>
    </w:lvl>
    <w:lvl w:ilvl="1" w:tplc="33326C06">
      <w:start w:val="1"/>
      <w:numFmt w:val="bullet"/>
      <w:lvlText w:val="○"/>
      <w:lvlJc w:val="left"/>
      <w:pPr>
        <w:ind w:left="1440" w:hanging="360"/>
      </w:pPr>
    </w:lvl>
    <w:lvl w:ilvl="2" w:tplc="8DE63110">
      <w:start w:val="1"/>
      <w:numFmt w:val="bullet"/>
      <w:lvlText w:val="■"/>
      <w:lvlJc w:val="left"/>
      <w:pPr>
        <w:ind w:left="2160" w:hanging="360"/>
      </w:pPr>
    </w:lvl>
    <w:lvl w:ilvl="3" w:tplc="93BAF14C">
      <w:start w:val="1"/>
      <w:numFmt w:val="bullet"/>
      <w:lvlText w:val="●"/>
      <w:lvlJc w:val="left"/>
      <w:pPr>
        <w:ind w:left="2880" w:hanging="360"/>
      </w:pPr>
    </w:lvl>
    <w:lvl w:ilvl="4" w:tplc="92DEF97A">
      <w:start w:val="1"/>
      <w:numFmt w:val="bullet"/>
      <w:lvlText w:val="○"/>
      <w:lvlJc w:val="left"/>
      <w:pPr>
        <w:ind w:left="3600" w:hanging="360"/>
      </w:pPr>
    </w:lvl>
    <w:lvl w:ilvl="5" w:tplc="87BEEE4E">
      <w:start w:val="1"/>
      <w:numFmt w:val="bullet"/>
      <w:lvlText w:val="■"/>
      <w:lvlJc w:val="left"/>
      <w:pPr>
        <w:ind w:left="4320" w:hanging="360"/>
      </w:pPr>
    </w:lvl>
    <w:lvl w:ilvl="6" w:tplc="D2D82D52">
      <w:start w:val="1"/>
      <w:numFmt w:val="bullet"/>
      <w:lvlText w:val="●"/>
      <w:lvlJc w:val="left"/>
      <w:pPr>
        <w:ind w:left="5040" w:hanging="360"/>
      </w:pPr>
    </w:lvl>
    <w:lvl w:ilvl="7" w:tplc="EE82A196">
      <w:start w:val="1"/>
      <w:numFmt w:val="bullet"/>
      <w:lvlText w:val="●"/>
      <w:lvlJc w:val="left"/>
      <w:pPr>
        <w:ind w:left="5760" w:hanging="360"/>
      </w:pPr>
    </w:lvl>
    <w:lvl w:ilvl="8" w:tplc="86781A3E">
      <w:start w:val="1"/>
      <w:numFmt w:val="bullet"/>
      <w:lvlText w:val="●"/>
      <w:lvlJc w:val="left"/>
      <w:pPr>
        <w:ind w:left="6480" w:hanging="360"/>
      </w:pPr>
    </w:lvl>
  </w:abstractNum>
  <w:abstractNum w:abstractNumId="1" w15:restartNumberingAfterBreak="0">
    <w:nsid w:val="420867AB"/>
    <w:multiLevelType w:val="hybridMultilevel"/>
    <w:tmpl w:val="97180DA6"/>
    <w:lvl w:ilvl="0" w:tplc="02BAF170">
      <w:start w:val="1"/>
      <w:numFmt w:val="decimal"/>
      <w:lvlText w:val="%1."/>
      <w:lvlJc w:val="left"/>
      <w:pPr>
        <w:ind w:left="720" w:hanging="360"/>
      </w:pPr>
    </w:lvl>
    <w:lvl w:ilvl="1" w:tplc="E528CD3E">
      <w:numFmt w:val="decimal"/>
      <w:lvlText w:val=""/>
      <w:lvlJc w:val="left"/>
    </w:lvl>
    <w:lvl w:ilvl="2" w:tplc="8312E8D6">
      <w:numFmt w:val="decimal"/>
      <w:lvlText w:val=""/>
      <w:lvlJc w:val="left"/>
    </w:lvl>
    <w:lvl w:ilvl="3" w:tplc="F4646BF2">
      <w:numFmt w:val="decimal"/>
      <w:lvlText w:val=""/>
      <w:lvlJc w:val="left"/>
    </w:lvl>
    <w:lvl w:ilvl="4" w:tplc="A120B006">
      <w:numFmt w:val="decimal"/>
      <w:lvlText w:val=""/>
      <w:lvlJc w:val="left"/>
    </w:lvl>
    <w:lvl w:ilvl="5" w:tplc="4AF645D0">
      <w:numFmt w:val="decimal"/>
      <w:lvlText w:val=""/>
      <w:lvlJc w:val="left"/>
    </w:lvl>
    <w:lvl w:ilvl="6" w:tplc="CA801CFC">
      <w:numFmt w:val="decimal"/>
      <w:lvlText w:val=""/>
      <w:lvlJc w:val="left"/>
    </w:lvl>
    <w:lvl w:ilvl="7" w:tplc="76866916">
      <w:numFmt w:val="decimal"/>
      <w:lvlText w:val=""/>
      <w:lvlJc w:val="left"/>
    </w:lvl>
    <w:lvl w:ilvl="8" w:tplc="004C9E98">
      <w:numFmt w:val="decimal"/>
      <w:lvlText w:val=""/>
      <w:lvlJc w:val="left"/>
    </w:lvl>
  </w:abstractNum>
  <w:abstractNum w:abstractNumId="2" w15:restartNumberingAfterBreak="0">
    <w:nsid w:val="7E875842"/>
    <w:multiLevelType w:val="hybridMultilevel"/>
    <w:tmpl w:val="3D427700"/>
    <w:lvl w:ilvl="0" w:tplc="AECC6876">
      <w:start w:val="1"/>
      <w:numFmt w:val="bullet"/>
      <w:lvlText w:val="•"/>
      <w:lvlJc w:val="left"/>
      <w:pPr>
        <w:ind w:left="720" w:hanging="360"/>
      </w:pPr>
    </w:lvl>
    <w:lvl w:ilvl="1" w:tplc="0FC0A6CE">
      <w:numFmt w:val="decimal"/>
      <w:lvlText w:val=""/>
      <w:lvlJc w:val="left"/>
    </w:lvl>
    <w:lvl w:ilvl="2" w:tplc="A5A07A26">
      <w:numFmt w:val="decimal"/>
      <w:lvlText w:val=""/>
      <w:lvlJc w:val="left"/>
    </w:lvl>
    <w:lvl w:ilvl="3" w:tplc="9B0E1314">
      <w:numFmt w:val="decimal"/>
      <w:lvlText w:val=""/>
      <w:lvlJc w:val="left"/>
    </w:lvl>
    <w:lvl w:ilvl="4" w:tplc="547CA61A">
      <w:numFmt w:val="decimal"/>
      <w:lvlText w:val=""/>
      <w:lvlJc w:val="left"/>
    </w:lvl>
    <w:lvl w:ilvl="5" w:tplc="BC9412FE">
      <w:numFmt w:val="decimal"/>
      <w:lvlText w:val=""/>
      <w:lvlJc w:val="left"/>
    </w:lvl>
    <w:lvl w:ilvl="6" w:tplc="F716D1CA">
      <w:numFmt w:val="decimal"/>
      <w:lvlText w:val=""/>
      <w:lvlJc w:val="left"/>
    </w:lvl>
    <w:lvl w:ilvl="7" w:tplc="EBBE6798">
      <w:numFmt w:val="decimal"/>
      <w:lvlText w:val=""/>
      <w:lvlJc w:val="left"/>
    </w:lvl>
    <w:lvl w:ilvl="8" w:tplc="9A66E542">
      <w:numFmt w:val="decimal"/>
      <w:lvlText w:val=""/>
      <w:lvlJc w:val="left"/>
    </w:lvl>
  </w:abstractNum>
  <w:num w:numId="1" w16cid:durableId="1638341011">
    <w:abstractNumId w:val="0"/>
    <w:lvlOverride w:ilvl="0">
      <w:startOverride w:val="1"/>
    </w:lvlOverride>
  </w:num>
  <w:num w:numId="2" w16cid:durableId="141790102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29"/>
    <w:rsid w:val="00015163"/>
    <w:rsid w:val="004D50FA"/>
    <w:rsid w:val="009E3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359D3B"/>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2026-05-11T17:22:00Z</dcterms:created>
  <dcterms:modified xsi:type="dcterms:W3CDTF">2026-05-11T17:22:00Z</dcterms:modified>
</cp:coreProperties>
</file>