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3EE4" w14:textId="77777777" w:rsidR="00484F51" w:rsidRDefault="00484F51">
      <w:pPr>
        <w:spacing w:after="80"/>
      </w:pPr>
    </w:p>
    <w:p w14:paraId="61EDA9FC" w14:textId="77777777" w:rsidR="00484F51" w:rsidRDefault="00000000">
      <w:pPr>
        <w:spacing w:before="80" w:after="40"/>
      </w:pPr>
      <w:r>
        <w:rPr>
          <w:b/>
          <w:bCs/>
          <w:color w:val="1B3A6B"/>
          <w:sz w:val="46"/>
          <w:szCs w:val="46"/>
        </w:rPr>
        <w:t>Internal Quality Assurance (IQA) Policy</w:t>
      </w:r>
    </w:p>
    <w:p w14:paraId="759F1DCF" w14:textId="77777777" w:rsidR="00484F51" w:rsidRDefault="00000000">
      <w:pPr>
        <w:pBdr>
          <w:bottom w:val="single" w:sz="8" w:space="4" w:color="2E75B6"/>
        </w:pBdr>
        <w:spacing w:after="200"/>
      </w:pPr>
      <w:r>
        <w:rPr>
          <w:color w:val="555555"/>
        </w:rPr>
        <w:t>TLSPH LTD  |  The London School of Public Health</w:t>
      </w:r>
    </w:p>
    <w:p w14:paraId="7447724D"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60F1DF8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3F8E796" w14:textId="77777777" w:rsidR="00484F51"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ED949D3" w14:textId="77777777" w:rsidR="00484F51" w:rsidRDefault="00000000">
            <w:r>
              <w:rPr>
                <w:sz w:val="20"/>
                <w:szCs w:val="20"/>
              </w:rPr>
              <w:t>TLSPH-POL-018</w:t>
            </w:r>
          </w:p>
        </w:tc>
      </w:tr>
    </w:tbl>
    <w:p w14:paraId="3A18D02D"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065170F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4F72689" w14:textId="77777777" w:rsidR="00484F51"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88E4DF4" w14:textId="77777777" w:rsidR="00484F51" w:rsidRDefault="00000000">
            <w:r>
              <w:rPr>
                <w:sz w:val="20"/>
                <w:szCs w:val="20"/>
              </w:rPr>
              <w:t>1.0</w:t>
            </w:r>
          </w:p>
        </w:tc>
      </w:tr>
    </w:tbl>
    <w:p w14:paraId="7D67A026"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6916817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B77CBA4" w14:textId="77777777" w:rsidR="00484F51"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DCC138B" w14:textId="77777777" w:rsidR="00484F51" w:rsidRDefault="00000000">
            <w:r>
              <w:rPr>
                <w:sz w:val="20"/>
                <w:szCs w:val="20"/>
              </w:rPr>
              <w:t>June 2026</w:t>
            </w:r>
          </w:p>
        </w:tc>
      </w:tr>
    </w:tbl>
    <w:p w14:paraId="1F721830"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0B1AE33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16AE5E" w14:textId="77777777" w:rsidR="00484F51"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C2C508C" w14:textId="77777777" w:rsidR="00484F51" w:rsidRDefault="00000000">
            <w:r>
              <w:rPr>
                <w:sz w:val="20"/>
                <w:szCs w:val="20"/>
              </w:rPr>
              <w:t>June 2027</w:t>
            </w:r>
          </w:p>
        </w:tc>
      </w:tr>
    </w:tbl>
    <w:p w14:paraId="218AFB4A"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369C367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BD6FE9A" w14:textId="77777777" w:rsidR="00484F51"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1F2470B" w14:textId="77777777" w:rsidR="00484F51" w:rsidRDefault="00000000">
            <w:r>
              <w:rPr>
                <w:sz w:val="20"/>
                <w:szCs w:val="20"/>
              </w:rPr>
              <w:t>Senior Leadership Team</w:t>
            </w:r>
          </w:p>
        </w:tc>
      </w:tr>
    </w:tbl>
    <w:p w14:paraId="21E1E898"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62E4AD0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2A4CAA2" w14:textId="77777777" w:rsidR="00484F51"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6FEAAA1" w14:textId="77777777" w:rsidR="00484F51" w:rsidRDefault="00000000">
            <w:r>
              <w:rPr>
                <w:sz w:val="20"/>
                <w:szCs w:val="20"/>
              </w:rPr>
              <w:t>All programmes, assessors, internal verifiers and tutors at TLSPH LTD</w:t>
            </w:r>
          </w:p>
        </w:tc>
      </w:tr>
    </w:tbl>
    <w:p w14:paraId="79CF4E91"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312F1BD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060D22" w14:textId="77777777" w:rsidR="00484F51" w:rsidRDefault="00000000">
            <w:r>
              <w:rPr>
                <w:b/>
                <w:bCs/>
                <w:color w:val="1B3A6B"/>
                <w:sz w:val="20"/>
                <w:szCs w:val="20"/>
              </w:rPr>
              <w:t>UK Legislative &amp; Regulatory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0329FF5" w14:textId="77777777" w:rsidR="00484F51" w:rsidRDefault="00000000">
            <w:r>
              <w:rPr>
                <w:sz w:val="20"/>
                <w:szCs w:val="20"/>
              </w:rPr>
              <w:t>Ofqual General Conditions of Recognition — Condition H6 (Centre Assessment Standards Scrutiny) | Ofqual General Conditions of Recognition — Condition H3 (Assessment Personnel) | Ofqual General Conditions of Recognition — Condition G4 (Qualification and Component Design) | Ofqual General Conditions of Recognition — Condition A8 (Malpractice and Maladministration) | NCFE Centre Handbook and IQA Requirements | ABMA Education Centre Requirements | QAA UK Quality Code — Learning and Teaching Chapter | Equality Act 2010 | UK General Data Protection Regulation (UK GDPR) | Data Protection Act 2018</w:t>
            </w:r>
          </w:p>
        </w:tc>
      </w:tr>
    </w:tbl>
    <w:p w14:paraId="774D17BF" w14:textId="77777777" w:rsidR="00484F51" w:rsidRDefault="00484F51">
      <w:pPr>
        <w:spacing w:after="80"/>
      </w:pPr>
    </w:p>
    <w:p w14:paraId="6394EB87"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84F51" w14:paraId="0FF2F39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631C7EAB" w14:textId="77777777" w:rsidR="00484F51" w:rsidRDefault="00000000">
            <w:pPr>
              <w:spacing w:after="60"/>
            </w:pPr>
            <w:r>
              <w:rPr>
                <w:b/>
                <w:bCs/>
                <w:color w:val="1A7A4A"/>
                <w:sz w:val="21"/>
                <w:szCs w:val="21"/>
              </w:rPr>
              <w:t>Why IQA Matters</w:t>
            </w:r>
          </w:p>
          <w:p w14:paraId="57346426" w14:textId="77777777" w:rsidR="00484F51" w:rsidRDefault="00000000">
            <w:pPr>
              <w:spacing w:before="10" w:after="10"/>
            </w:pPr>
            <w:r>
              <w:rPr>
                <w:sz w:val="20"/>
                <w:szCs w:val="20"/>
              </w:rPr>
              <w:t>Internal Quality Assurance (IQA) is the process by which TLSPH LTD ensures that all assessment decisions are valid, reliable, fair, and consistent across assessors, cohorts, and time. Robust IQA is a requirement of Ofqual's General Conditions of Recognition (Condition H6) and a core obligation of TLSPH's centre agreements with NCFE/CACHE, ABMA Education, and the CPD Certification Service. It protects the integrity of learner qualifications and TLSPH's centre status.</w:t>
            </w:r>
          </w:p>
        </w:tc>
      </w:tr>
    </w:tbl>
    <w:p w14:paraId="76772C36" w14:textId="77777777" w:rsidR="00484F51" w:rsidRDefault="00484F51">
      <w:pPr>
        <w:spacing w:after="80"/>
      </w:pPr>
    </w:p>
    <w:p w14:paraId="54E7FD57" w14:textId="77777777" w:rsidR="00484F51" w:rsidRDefault="00000000">
      <w:pPr>
        <w:pBdr>
          <w:bottom w:val="single" w:sz="6" w:space="4" w:color="2E75B6"/>
        </w:pBdr>
        <w:spacing w:before="320" w:after="120"/>
      </w:pPr>
      <w:r>
        <w:rPr>
          <w:b/>
          <w:bCs/>
          <w:color w:val="1B3A6B"/>
          <w:sz w:val="28"/>
          <w:szCs w:val="28"/>
        </w:rPr>
        <w:t>1. Purpose and Scope</w:t>
      </w:r>
    </w:p>
    <w:p w14:paraId="62EED7D5" w14:textId="77777777" w:rsidR="00484F51" w:rsidRDefault="00000000">
      <w:pPr>
        <w:spacing w:before="60" w:after="100"/>
      </w:pPr>
      <w:r>
        <w:t>This policy sets out TLSPH LTD's (referred to as "TLSPH") approach to internal quality assurance of assessment across all programmes. It defines the roles, responsibilities, processes, and documentation requirements that ensure assessment decisions are accurate, consistent, and compliant with awarding body and Ofqual requirements.</w:t>
      </w:r>
    </w:p>
    <w:p w14:paraId="7FDAEF6D" w14:textId="77777777" w:rsidR="00484F51" w:rsidRDefault="00000000">
      <w:pPr>
        <w:spacing w:before="60" w:after="100"/>
      </w:pPr>
      <w:r>
        <w:lastRenderedPageBreak/>
        <w:t>This policy applies to all programmes delivered by TLSPH, including those leading to qualifications awarded by NCFE/CACHE, ABMA Education, and the CPD Certification Service. Where an awarding body's centre handbook or IQA guidance specifies requirements beyond or different from this policy, the awarding body's requirements take precedence.</w:t>
      </w:r>
    </w:p>
    <w:p w14:paraId="0D201BC4" w14:textId="77777777" w:rsidR="00484F51" w:rsidRDefault="00000000">
      <w:pPr>
        <w:spacing w:before="60" w:after="100"/>
      </w:pPr>
      <w:r>
        <w:t>This policy should be read alongside the Malpractice &amp; Maladministration Policy (TLSPH-POL-017), the Reasonable Adjustments &amp; Special Considerations Policy (TLSPH-POL-019), and the Academic Integrity &amp; Plagiarism Policy (TLSPH-POL-006).</w:t>
      </w:r>
    </w:p>
    <w:p w14:paraId="23D5E8B9" w14:textId="77777777" w:rsidR="00484F51" w:rsidRDefault="00484F51">
      <w:pPr>
        <w:spacing w:after="80"/>
      </w:pPr>
    </w:p>
    <w:p w14:paraId="604DD5B9" w14:textId="77777777" w:rsidR="00484F51" w:rsidRDefault="00000000">
      <w:pPr>
        <w:pBdr>
          <w:bottom w:val="single" w:sz="6" w:space="4" w:color="2E75B6"/>
        </w:pBdr>
        <w:spacing w:before="320" w:after="120"/>
      </w:pPr>
      <w:r>
        <w:rPr>
          <w:b/>
          <w:bCs/>
          <w:color w:val="1B3A6B"/>
          <w:sz w:val="28"/>
          <w:szCs w:val="28"/>
        </w:rPr>
        <w:t>2. Principles of Internal Quality Assurance</w:t>
      </w:r>
    </w:p>
    <w:p w14:paraId="250D1637" w14:textId="77777777" w:rsidR="00484F51" w:rsidRDefault="00000000">
      <w:pPr>
        <w:spacing w:before="60" w:after="100"/>
      </w:pPr>
      <w:r>
        <w:t>TLSPH's IQA processes are guided by the following principles, consistent with Ofqual's General Conditions of Recognition and the QAA UK Quality Code:</w:t>
      </w:r>
    </w:p>
    <w:p w14:paraId="021A0710" w14:textId="77777777" w:rsidR="00484F51" w:rsidRDefault="00000000">
      <w:pPr>
        <w:pStyle w:val="ListParagraph"/>
        <w:numPr>
          <w:ilvl w:val="0"/>
          <w:numId w:val="2"/>
        </w:numPr>
        <w:spacing w:before="40" w:after="40"/>
      </w:pPr>
      <w:r>
        <w:t>Validity — assessments measure what they are intended to measure and align with the qualification specification</w:t>
      </w:r>
    </w:p>
    <w:p w14:paraId="3B8DA470" w14:textId="77777777" w:rsidR="00484F51" w:rsidRDefault="00000000">
      <w:pPr>
        <w:pStyle w:val="ListParagraph"/>
        <w:numPr>
          <w:ilvl w:val="0"/>
          <w:numId w:val="2"/>
        </w:numPr>
        <w:spacing w:before="40" w:after="40"/>
      </w:pPr>
      <w:r>
        <w:t>Reliability — assessment decisions are consistent across assessors, learners, and time</w:t>
      </w:r>
    </w:p>
    <w:p w14:paraId="43EA3C4C" w14:textId="77777777" w:rsidR="00484F51" w:rsidRDefault="00000000">
      <w:pPr>
        <w:pStyle w:val="ListParagraph"/>
        <w:numPr>
          <w:ilvl w:val="0"/>
          <w:numId w:val="2"/>
        </w:numPr>
        <w:spacing w:before="40" w:after="40"/>
      </w:pPr>
      <w:r>
        <w:t>Fairness — all learners have an equal and appropriate opportunity to demonstrate their knowledge and skills, with reasonable adjustments applied where required</w:t>
      </w:r>
    </w:p>
    <w:p w14:paraId="0C1817C3" w14:textId="77777777" w:rsidR="00484F51" w:rsidRDefault="00000000">
      <w:pPr>
        <w:pStyle w:val="ListParagraph"/>
        <w:numPr>
          <w:ilvl w:val="0"/>
          <w:numId w:val="2"/>
        </w:numPr>
        <w:spacing w:before="40" w:after="40"/>
      </w:pPr>
      <w:r>
        <w:t>Transparency — assessment criteria and processes are clear and accessible to all learners</w:t>
      </w:r>
    </w:p>
    <w:p w14:paraId="135459C0" w14:textId="77777777" w:rsidR="00484F51" w:rsidRDefault="00000000">
      <w:pPr>
        <w:pStyle w:val="ListParagraph"/>
        <w:numPr>
          <w:ilvl w:val="0"/>
          <w:numId w:val="2"/>
        </w:numPr>
        <w:spacing w:before="40" w:after="40"/>
      </w:pPr>
      <w:r>
        <w:t>Sufficiency — the volume and nature of evidence gathered is appropriate to the requirements of the qualification</w:t>
      </w:r>
    </w:p>
    <w:p w14:paraId="2603E049" w14:textId="77777777" w:rsidR="00484F51" w:rsidRDefault="00000000">
      <w:pPr>
        <w:pStyle w:val="ListParagraph"/>
        <w:numPr>
          <w:ilvl w:val="0"/>
          <w:numId w:val="2"/>
        </w:numPr>
        <w:spacing w:before="40" w:after="40"/>
      </w:pPr>
      <w:r>
        <w:t>Authenticity — the work assessed is genuinely the learner's own</w:t>
      </w:r>
    </w:p>
    <w:p w14:paraId="7DC01992" w14:textId="77777777" w:rsidR="00484F51" w:rsidRDefault="00000000">
      <w:pPr>
        <w:pStyle w:val="ListParagraph"/>
        <w:numPr>
          <w:ilvl w:val="0"/>
          <w:numId w:val="2"/>
        </w:numPr>
        <w:spacing w:before="40" w:after="40"/>
      </w:pPr>
      <w:r>
        <w:t>Currency — evidence of competence is current and applicable</w:t>
      </w:r>
    </w:p>
    <w:p w14:paraId="4DA1FA10" w14:textId="77777777" w:rsidR="00484F51" w:rsidRDefault="00484F51">
      <w:pPr>
        <w:spacing w:after="80"/>
      </w:pPr>
    </w:p>
    <w:p w14:paraId="5A0313C0" w14:textId="77777777" w:rsidR="00484F51" w:rsidRDefault="00000000">
      <w:pPr>
        <w:pBdr>
          <w:bottom w:val="single" w:sz="6" w:space="4" w:color="2E75B6"/>
        </w:pBdr>
        <w:spacing w:before="320" w:after="120"/>
      </w:pPr>
      <w:r>
        <w:rPr>
          <w:b/>
          <w:bCs/>
          <w:color w:val="1B3A6B"/>
          <w:sz w:val="28"/>
          <w:szCs w:val="28"/>
        </w:rPr>
        <w:t>3. IQA Roles and Responsibilities</w:t>
      </w:r>
    </w:p>
    <w:p w14:paraId="431981B8"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484F51" w14:paraId="42E7775F"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449248EF" w14:textId="77777777" w:rsidR="00484F51" w:rsidRDefault="00000000">
            <w:r>
              <w:rPr>
                <w:b/>
                <w:bCs/>
                <w:color w:val="FFFFFF"/>
                <w:sz w:val="19"/>
                <w:szCs w:val="19"/>
              </w:rPr>
              <w:t>Role</w:t>
            </w:r>
          </w:p>
        </w:tc>
        <w:tc>
          <w:tcPr>
            <w:tcW w:w="62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3B04D18A" w14:textId="77777777" w:rsidR="00484F51" w:rsidRDefault="00000000">
            <w:r>
              <w:rPr>
                <w:b/>
                <w:bCs/>
                <w:color w:val="FFFFFF"/>
                <w:sz w:val="19"/>
                <w:szCs w:val="19"/>
              </w:rPr>
              <w:t>Responsibilities</w:t>
            </w:r>
          </w:p>
        </w:tc>
      </w:tr>
      <w:tr w:rsidR="00484F51" w14:paraId="76DA12F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DB41FE" w14:textId="77777777" w:rsidR="00484F51" w:rsidRDefault="00000000">
            <w:r>
              <w:rPr>
                <w:sz w:val="19"/>
                <w:szCs w:val="19"/>
              </w:rPr>
              <w:t>Senior Leadership Team</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7F75E1" w14:textId="77777777" w:rsidR="00484F51" w:rsidRDefault="00000000">
            <w:r>
              <w:rPr>
                <w:sz w:val="19"/>
                <w:szCs w:val="19"/>
              </w:rPr>
              <w:t>Overall accountability for IQA across TLSPH. Ensures adequate resources for IQA. Appoints Lead IQA. Reviews IQA reports and takes action on identified issues. Reports to awarding bodies as required.</w:t>
            </w:r>
          </w:p>
        </w:tc>
      </w:tr>
      <w:tr w:rsidR="00484F51" w14:paraId="576FA96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715E8CB" w14:textId="77777777" w:rsidR="00484F51" w:rsidRDefault="00000000">
            <w:r>
              <w:rPr>
                <w:sz w:val="19"/>
                <w:szCs w:val="19"/>
              </w:rPr>
              <w:t>Lead Internal Quality Assurer (Lead IQA)</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E90789C" w14:textId="77777777" w:rsidR="00484F51" w:rsidRDefault="00000000">
            <w:r>
              <w:rPr>
                <w:sz w:val="19"/>
                <w:szCs w:val="19"/>
              </w:rPr>
              <w:t>Develops and oversees the IQA strategy and sampling plan. Conducts or coordinates internal verification activities. Chairs standardisation meetings. Maintains IQA records. Liaises with awarding body EQAs. Reports IQA outcomes to the Senior Leadership Team.</w:t>
            </w:r>
          </w:p>
        </w:tc>
      </w:tr>
      <w:tr w:rsidR="00484F51" w14:paraId="7B23B0D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C1A442" w14:textId="77777777" w:rsidR="00484F51" w:rsidRDefault="00000000">
            <w:r>
              <w:rPr>
                <w:sz w:val="19"/>
                <w:szCs w:val="19"/>
              </w:rPr>
              <w:t>Internal Quality Assurers (IQAs)</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776C2" w14:textId="77777777" w:rsidR="00484F51" w:rsidRDefault="00000000">
            <w:r>
              <w:rPr>
                <w:sz w:val="19"/>
                <w:szCs w:val="19"/>
              </w:rPr>
              <w:t>Conduct internal verification of assessed work in accordance with the sampling plan. Provide feedback to assessors. Identify and escalate inconsistencies or concerns. Attend standardisation events. Maintain their own continuing professional development.</w:t>
            </w:r>
          </w:p>
        </w:tc>
      </w:tr>
      <w:tr w:rsidR="00484F51" w14:paraId="5F5DB1F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3440312" w14:textId="77777777" w:rsidR="00484F51" w:rsidRDefault="00000000">
            <w:r>
              <w:rPr>
                <w:sz w:val="19"/>
                <w:szCs w:val="19"/>
              </w:rPr>
              <w:t>Assessors / Tutors</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33690CD" w14:textId="77777777" w:rsidR="00484F51" w:rsidRDefault="00000000">
            <w:r>
              <w:rPr>
                <w:sz w:val="19"/>
                <w:szCs w:val="19"/>
              </w:rPr>
              <w:t>Conduct assessments in accordance with qualification specifications and awarding body requirements. Apply assessment criteria consistently. Accept and act on IQA feedback. Attend standardisation meetings. Maintain up-to-date subject knowledge and assessment skills.</w:t>
            </w:r>
          </w:p>
        </w:tc>
      </w:tr>
      <w:tr w:rsidR="00484F51" w14:paraId="07ED8CA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81DC27" w14:textId="77777777" w:rsidR="00484F51" w:rsidRDefault="00000000">
            <w:r>
              <w:rPr>
                <w:sz w:val="19"/>
                <w:szCs w:val="19"/>
              </w:rPr>
              <w:t>External Quality Assurer (EQA)</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E79937" w14:textId="77777777" w:rsidR="00484F51" w:rsidRDefault="00000000">
            <w:r>
              <w:rPr>
                <w:sz w:val="19"/>
                <w:szCs w:val="19"/>
              </w:rPr>
              <w:t xml:space="preserve">Appointed by the awarding body to monitor TLSPH's assessment and IQA practices. Conducts visits (which may be remote) to sample assessed work and review IQA records. Provides feedback and </w:t>
            </w:r>
            <w:r>
              <w:rPr>
                <w:sz w:val="19"/>
                <w:szCs w:val="19"/>
              </w:rPr>
              <w:lastRenderedPageBreak/>
              <w:t>recommendations to TLSPH. May impose sanctions if requirements are not met.</w:t>
            </w:r>
          </w:p>
        </w:tc>
      </w:tr>
    </w:tbl>
    <w:p w14:paraId="3F3A9D71" w14:textId="77777777" w:rsidR="00484F51" w:rsidRDefault="00484F51">
      <w:pPr>
        <w:spacing w:after="80"/>
      </w:pPr>
    </w:p>
    <w:p w14:paraId="46B6D4A9" w14:textId="77777777" w:rsidR="00484F51" w:rsidRDefault="00484F51">
      <w:pPr>
        <w:spacing w:after="80"/>
      </w:pPr>
    </w:p>
    <w:p w14:paraId="6F0944B6" w14:textId="77777777" w:rsidR="00484F51" w:rsidRDefault="00000000">
      <w:pPr>
        <w:pBdr>
          <w:bottom w:val="single" w:sz="6" w:space="4" w:color="2E75B6"/>
        </w:pBdr>
        <w:spacing w:before="320" w:after="120"/>
      </w:pPr>
      <w:r>
        <w:rPr>
          <w:b/>
          <w:bCs/>
          <w:color w:val="1B3A6B"/>
          <w:sz w:val="28"/>
          <w:szCs w:val="28"/>
        </w:rPr>
        <w:t>4. Assessor Requirements</w:t>
      </w:r>
    </w:p>
    <w:p w14:paraId="519DFAD8" w14:textId="77777777" w:rsidR="00484F51" w:rsidRDefault="00000000">
      <w:pPr>
        <w:spacing w:before="60" w:after="100"/>
      </w:pPr>
      <w:r>
        <w:t>All assessors and tutors conducting assessment for TLSPH must:</w:t>
      </w:r>
    </w:p>
    <w:p w14:paraId="34AD0CB5" w14:textId="77777777" w:rsidR="00484F51" w:rsidRDefault="00000000">
      <w:pPr>
        <w:pStyle w:val="ListParagraph"/>
        <w:numPr>
          <w:ilvl w:val="0"/>
          <w:numId w:val="2"/>
        </w:numPr>
        <w:spacing w:before="40" w:after="40"/>
      </w:pPr>
      <w:r>
        <w:t>Hold an appropriate qualification to assess the subject area, as required by the relevant awarding body</w:t>
      </w:r>
    </w:p>
    <w:p w14:paraId="6DCD463B" w14:textId="77777777" w:rsidR="00484F51" w:rsidRDefault="00000000">
      <w:pPr>
        <w:pStyle w:val="ListParagraph"/>
        <w:numPr>
          <w:ilvl w:val="0"/>
          <w:numId w:val="2"/>
        </w:numPr>
        <w:spacing w:before="40" w:after="40"/>
      </w:pPr>
      <w:r>
        <w:t>Hold or be working towards a recognised assessor qualification (e.g. CAVA, Level 3 Award in Assessing Competence, or equivalent) where required by the awarding body</w:t>
      </w:r>
    </w:p>
    <w:p w14:paraId="770C3466" w14:textId="77777777" w:rsidR="00484F51" w:rsidRDefault="00000000">
      <w:pPr>
        <w:pStyle w:val="ListParagraph"/>
        <w:numPr>
          <w:ilvl w:val="0"/>
          <w:numId w:val="2"/>
        </w:numPr>
        <w:spacing w:before="40" w:after="40"/>
      </w:pPr>
      <w:r>
        <w:t>Be occupationally competent in the areas they assess, maintaining currency through CPD</w:t>
      </w:r>
    </w:p>
    <w:p w14:paraId="2A432DB5" w14:textId="77777777" w:rsidR="00484F51" w:rsidRDefault="00000000">
      <w:pPr>
        <w:pStyle w:val="ListParagraph"/>
        <w:numPr>
          <w:ilvl w:val="0"/>
          <w:numId w:val="2"/>
        </w:numPr>
        <w:spacing w:before="40" w:after="40"/>
      </w:pPr>
      <w:r>
        <w:t>Have been inducted into TLSPH's assessment policies and awarding body requirements before assessing independently</w:t>
      </w:r>
    </w:p>
    <w:p w14:paraId="6E3D4DF2" w14:textId="77777777" w:rsidR="00484F51" w:rsidRDefault="00000000">
      <w:pPr>
        <w:pStyle w:val="ListParagraph"/>
        <w:numPr>
          <w:ilvl w:val="0"/>
          <w:numId w:val="2"/>
        </w:numPr>
        <w:spacing w:before="40" w:after="40"/>
      </w:pPr>
      <w:r>
        <w:t>Not assess the work of a learner where a conflict of interest exists, in accordance with the Conflicts of Interest Policy (TLSPH-POL-013)</w:t>
      </w:r>
    </w:p>
    <w:p w14:paraId="40E42AE9" w14:textId="77777777" w:rsidR="00484F51" w:rsidRDefault="00484F51">
      <w:pPr>
        <w:spacing w:after="80"/>
      </w:pPr>
    </w:p>
    <w:p w14:paraId="0C4EF900" w14:textId="77777777" w:rsidR="00484F51" w:rsidRDefault="00000000">
      <w:pPr>
        <w:spacing w:before="60" w:after="100"/>
      </w:pPr>
      <w:r>
        <w:t>Assessor qualifications, occupational competence, and CPD records are maintained by the Senior Leadership Team and are available for inspection by the EQA.</w:t>
      </w:r>
    </w:p>
    <w:p w14:paraId="4CB32BFF" w14:textId="77777777" w:rsidR="00484F51" w:rsidRDefault="00484F51">
      <w:pPr>
        <w:spacing w:after="80"/>
      </w:pPr>
    </w:p>
    <w:p w14:paraId="10ABBBEB" w14:textId="77777777" w:rsidR="00484F51" w:rsidRDefault="00000000">
      <w:pPr>
        <w:pBdr>
          <w:bottom w:val="single" w:sz="6" w:space="4" w:color="2E75B6"/>
        </w:pBdr>
        <w:spacing w:before="320" w:after="120"/>
      </w:pPr>
      <w:r>
        <w:rPr>
          <w:b/>
          <w:bCs/>
          <w:color w:val="1B3A6B"/>
          <w:sz w:val="28"/>
          <w:szCs w:val="28"/>
        </w:rPr>
        <w:t>5. IQA Qualification Requirements</w:t>
      </w:r>
    </w:p>
    <w:p w14:paraId="2754D787" w14:textId="77777777" w:rsidR="00484F51" w:rsidRDefault="00000000">
      <w:pPr>
        <w:spacing w:before="60" w:after="100"/>
      </w:pPr>
      <w:r>
        <w:t>All internal quality assurers must:</w:t>
      </w:r>
    </w:p>
    <w:p w14:paraId="7CDD0F82" w14:textId="77777777" w:rsidR="00484F51" w:rsidRDefault="00000000">
      <w:pPr>
        <w:pStyle w:val="ListParagraph"/>
        <w:numPr>
          <w:ilvl w:val="0"/>
          <w:numId w:val="2"/>
        </w:numPr>
        <w:spacing w:before="40" w:after="40"/>
      </w:pPr>
      <w:r>
        <w:t>Hold or be working towards a recognised IQA qualification (e.g. Level 4 Award in the Internal Quality Assurance of Assessment Processes and Practice, or equivalent as required by the awarding body)</w:t>
      </w:r>
    </w:p>
    <w:p w14:paraId="47A8FAA4" w14:textId="77777777" w:rsidR="00484F51" w:rsidRDefault="00000000">
      <w:pPr>
        <w:pStyle w:val="ListParagraph"/>
        <w:numPr>
          <w:ilvl w:val="0"/>
          <w:numId w:val="2"/>
        </w:numPr>
        <w:spacing w:before="40" w:after="40"/>
      </w:pPr>
      <w:r>
        <w:t>Have sufficient occupational knowledge and understanding to quality assure the subject area</w:t>
      </w:r>
    </w:p>
    <w:p w14:paraId="38A44EB4" w14:textId="77777777" w:rsidR="00484F51" w:rsidRDefault="00000000">
      <w:pPr>
        <w:pStyle w:val="ListParagraph"/>
        <w:numPr>
          <w:ilvl w:val="0"/>
          <w:numId w:val="2"/>
        </w:numPr>
        <w:spacing w:before="40" w:after="40"/>
      </w:pPr>
      <w:r>
        <w:t>Not internally quality assure their own assessments</w:t>
      </w:r>
    </w:p>
    <w:p w14:paraId="126C232A" w14:textId="77777777" w:rsidR="00484F51" w:rsidRDefault="00000000">
      <w:pPr>
        <w:pStyle w:val="ListParagraph"/>
        <w:numPr>
          <w:ilvl w:val="0"/>
          <w:numId w:val="2"/>
        </w:numPr>
        <w:spacing w:before="40" w:after="40"/>
      </w:pPr>
      <w:r>
        <w:t>Maintain their skills and knowledge through CPD</w:t>
      </w:r>
    </w:p>
    <w:p w14:paraId="598DB894" w14:textId="77777777" w:rsidR="00484F51" w:rsidRDefault="00484F51">
      <w:pPr>
        <w:spacing w:after="80"/>
      </w:pPr>
    </w:p>
    <w:p w14:paraId="2CEEFA0E" w14:textId="77777777" w:rsidR="00484F51" w:rsidRDefault="00000000">
      <w:pPr>
        <w:pBdr>
          <w:bottom w:val="single" w:sz="6" w:space="4" w:color="2E75B6"/>
        </w:pBdr>
        <w:spacing w:before="320" w:after="120"/>
      </w:pPr>
      <w:r>
        <w:rPr>
          <w:b/>
          <w:bCs/>
          <w:color w:val="1B3A6B"/>
          <w:sz w:val="28"/>
          <w:szCs w:val="28"/>
        </w:rPr>
        <w:t>6. The IQA Sampling Plan</w:t>
      </w:r>
    </w:p>
    <w:p w14:paraId="66FBC154" w14:textId="77777777" w:rsidR="00484F51" w:rsidRDefault="00000000">
      <w:pPr>
        <w:spacing w:before="60" w:after="100"/>
      </w:pPr>
      <w:r>
        <w:t>The Lead IQA will produce an IQA Sampling Plan at the start of each academic year, or intake where applicable. The sampling plan will specify:</w:t>
      </w:r>
    </w:p>
    <w:p w14:paraId="63348FFA" w14:textId="77777777" w:rsidR="00484F51" w:rsidRDefault="00000000">
      <w:pPr>
        <w:pStyle w:val="ListParagraph"/>
        <w:numPr>
          <w:ilvl w:val="0"/>
          <w:numId w:val="2"/>
        </w:numPr>
        <w:spacing w:before="40" w:after="40"/>
      </w:pPr>
      <w:r>
        <w:t>The qualifications and units to be sampled</w:t>
      </w:r>
    </w:p>
    <w:p w14:paraId="72844934" w14:textId="77777777" w:rsidR="00484F51" w:rsidRDefault="00000000">
      <w:pPr>
        <w:pStyle w:val="ListParagraph"/>
        <w:numPr>
          <w:ilvl w:val="0"/>
          <w:numId w:val="2"/>
        </w:numPr>
        <w:spacing w:before="40" w:after="40"/>
      </w:pPr>
      <w:r>
        <w:t>The names of assessors whose work will be sampled</w:t>
      </w:r>
    </w:p>
    <w:p w14:paraId="57F9327F" w14:textId="77777777" w:rsidR="00484F51" w:rsidRDefault="00000000">
      <w:pPr>
        <w:pStyle w:val="ListParagraph"/>
        <w:numPr>
          <w:ilvl w:val="0"/>
          <w:numId w:val="2"/>
        </w:numPr>
        <w:spacing w:before="40" w:after="40"/>
      </w:pPr>
      <w:r>
        <w:t>The sampling method to be used (e.g. random, high-risk, new assessor)</w:t>
      </w:r>
    </w:p>
    <w:p w14:paraId="0E130D7A" w14:textId="77777777" w:rsidR="00484F51" w:rsidRDefault="00000000">
      <w:pPr>
        <w:pStyle w:val="ListParagraph"/>
        <w:numPr>
          <w:ilvl w:val="0"/>
          <w:numId w:val="2"/>
        </w:numPr>
        <w:spacing w:before="40" w:after="40"/>
      </w:pPr>
      <w:r>
        <w:t>The minimum percentage of assessed work to be sampled per assessor</w:t>
      </w:r>
    </w:p>
    <w:p w14:paraId="0BF8C4E9" w14:textId="77777777" w:rsidR="00484F51" w:rsidRDefault="00000000">
      <w:pPr>
        <w:pStyle w:val="ListParagraph"/>
        <w:numPr>
          <w:ilvl w:val="0"/>
          <w:numId w:val="2"/>
        </w:numPr>
        <w:spacing w:before="40" w:after="40"/>
      </w:pPr>
      <w:r>
        <w:t>The planned timing of sampling activities</w:t>
      </w:r>
    </w:p>
    <w:p w14:paraId="61A6CBF9" w14:textId="77777777" w:rsidR="00484F51" w:rsidRDefault="00484F51">
      <w:pPr>
        <w:spacing w:after="80"/>
      </w:pPr>
    </w:p>
    <w:p w14:paraId="56EC0B8A" w14:textId="77777777" w:rsidR="00484F51" w:rsidRDefault="00000000">
      <w:pPr>
        <w:spacing w:before="60" w:after="100"/>
      </w:pPr>
      <w:r>
        <w:t>Sampling will be risk-based, ensuring that:</w:t>
      </w:r>
    </w:p>
    <w:p w14:paraId="38837F2E" w14:textId="77777777" w:rsidR="00484F51" w:rsidRDefault="00000000">
      <w:pPr>
        <w:pStyle w:val="ListParagraph"/>
        <w:numPr>
          <w:ilvl w:val="0"/>
          <w:numId w:val="2"/>
        </w:numPr>
        <w:spacing w:before="40" w:after="40"/>
      </w:pPr>
      <w:r>
        <w:lastRenderedPageBreak/>
        <w:t>All new assessors have a higher proportion of their work sampled until confidence is established</w:t>
      </w:r>
    </w:p>
    <w:p w14:paraId="27B2DD95" w14:textId="77777777" w:rsidR="00484F51" w:rsidRDefault="00000000">
      <w:pPr>
        <w:pStyle w:val="ListParagraph"/>
        <w:numPr>
          <w:ilvl w:val="0"/>
          <w:numId w:val="2"/>
        </w:numPr>
        <w:spacing w:before="40" w:after="40"/>
      </w:pPr>
      <w:r>
        <w:t>All assessors are sampled across the full range of units and learner types over a qualification cycle</w:t>
      </w:r>
    </w:p>
    <w:p w14:paraId="13EB56C0" w14:textId="77777777" w:rsidR="00484F51" w:rsidRDefault="00000000">
      <w:pPr>
        <w:pStyle w:val="ListParagraph"/>
        <w:numPr>
          <w:ilvl w:val="0"/>
          <w:numId w:val="2"/>
        </w:numPr>
        <w:spacing w:before="40" w:after="40"/>
      </w:pPr>
      <w:r>
        <w:t>Any assessor or unit identified as high-risk (e.g. following a malpractice concern or EQA feedback) receives increased sampling</w:t>
      </w:r>
    </w:p>
    <w:p w14:paraId="466BD160" w14:textId="77777777" w:rsidR="00484F51" w:rsidRDefault="00000000">
      <w:pPr>
        <w:pStyle w:val="ListParagraph"/>
        <w:numPr>
          <w:ilvl w:val="0"/>
          <w:numId w:val="2"/>
        </w:numPr>
        <w:spacing w:before="40" w:after="40"/>
      </w:pPr>
      <w:r>
        <w:t>Sampling includes pre-assessment sampling (assessment plans), interim sampling (work in progress), and post-assessment sampling (completed and marked work)</w:t>
      </w:r>
    </w:p>
    <w:p w14:paraId="314C309C" w14:textId="77777777" w:rsidR="00484F51" w:rsidRDefault="00484F51">
      <w:pPr>
        <w:spacing w:after="80"/>
      </w:pPr>
    </w:p>
    <w:p w14:paraId="52F19741" w14:textId="77777777" w:rsidR="00484F51" w:rsidRDefault="00000000">
      <w:pPr>
        <w:pBdr>
          <w:bottom w:val="single" w:sz="6" w:space="4" w:color="2E75B6"/>
        </w:pBdr>
        <w:spacing w:before="320" w:after="120"/>
      </w:pPr>
      <w:r>
        <w:rPr>
          <w:b/>
          <w:bCs/>
          <w:color w:val="1B3A6B"/>
          <w:sz w:val="28"/>
          <w:szCs w:val="28"/>
        </w:rPr>
        <w:t>7. The IQA Process</w:t>
      </w:r>
    </w:p>
    <w:p w14:paraId="19447680" w14:textId="77777777" w:rsidR="00484F51" w:rsidRDefault="00000000">
      <w:pPr>
        <w:spacing w:before="220" w:after="80"/>
      </w:pPr>
      <w:r>
        <w:rPr>
          <w:b/>
          <w:bCs/>
          <w:color w:val="2E75B6"/>
          <w:sz w:val="24"/>
          <w:szCs w:val="24"/>
        </w:rPr>
        <w:t>7.1 Pre-Assessment IQA</w:t>
      </w:r>
    </w:p>
    <w:p w14:paraId="7282D6D3" w14:textId="77777777" w:rsidR="00484F51" w:rsidRDefault="00000000">
      <w:pPr>
        <w:spacing w:before="60" w:after="100"/>
      </w:pPr>
      <w:r>
        <w:t>Before assessments are conducted, the IQA will review:</w:t>
      </w:r>
    </w:p>
    <w:p w14:paraId="2078640D" w14:textId="77777777" w:rsidR="00484F51" w:rsidRDefault="00000000">
      <w:pPr>
        <w:pStyle w:val="ListParagraph"/>
        <w:numPr>
          <w:ilvl w:val="0"/>
          <w:numId w:val="2"/>
        </w:numPr>
        <w:spacing w:before="40" w:after="40"/>
      </w:pPr>
      <w:r>
        <w:t>Assessment task designs to confirm they are fit for purpose, valid, and aligned to the qualification specification</w:t>
      </w:r>
    </w:p>
    <w:p w14:paraId="45A302E4" w14:textId="77777777" w:rsidR="00484F51" w:rsidRDefault="00000000">
      <w:pPr>
        <w:pStyle w:val="ListParagraph"/>
        <w:numPr>
          <w:ilvl w:val="0"/>
          <w:numId w:val="2"/>
        </w:numPr>
        <w:spacing w:before="40" w:after="40"/>
      </w:pPr>
      <w:r>
        <w:t>Assessment briefs and instructions issued to learners for clarity, accuracy, and accessibility</w:t>
      </w:r>
    </w:p>
    <w:p w14:paraId="19B2B933" w14:textId="77777777" w:rsidR="00484F51" w:rsidRDefault="00000000">
      <w:pPr>
        <w:pStyle w:val="ListParagraph"/>
        <w:numPr>
          <w:ilvl w:val="0"/>
          <w:numId w:val="2"/>
        </w:numPr>
        <w:spacing w:before="40" w:after="40"/>
      </w:pPr>
      <w:r>
        <w:t>Reasonable adjustment and special consideration arrangements in place for the cohort</w:t>
      </w:r>
    </w:p>
    <w:p w14:paraId="7877A13B" w14:textId="77777777" w:rsidR="00484F51" w:rsidRDefault="00000000">
      <w:pPr>
        <w:spacing w:before="220" w:after="80"/>
      </w:pPr>
      <w:r>
        <w:rPr>
          <w:b/>
          <w:bCs/>
          <w:color w:val="2E75B6"/>
          <w:sz w:val="24"/>
          <w:szCs w:val="24"/>
        </w:rPr>
        <w:t>7.2 Interim IQA</w:t>
      </w:r>
    </w:p>
    <w:p w14:paraId="20714E1F" w14:textId="77777777" w:rsidR="00484F51" w:rsidRDefault="00000000">
      <w:pPr>
        <w:spacing w:before="60" w:after="100"/>
      </w:pPr>
      <w:r>
        <w:t>During the assessment cycle, the IQA will:</w:t>
      </w:r>
    </w:p>
    <w:p w14:paraId="35CEAE24" w14:textId="77777777" w:rsidR="00484F51" w:rsidRDefault="00000000">
      <w:pPr>
        <w:pStyle w:val="ListParagraph"/>
        <w:numPr>
          <w:ilvl w:val="0"/>
          <w:numId w:val="2"/>
        </w:numPr>
        <w:spacing w:before="40" w:after="40"/>
      </w:pPr>
      <w:r>
        <w:t>Sample assessment plans and feedback given to learners in progress</w:t>
      </w:r>
    </w:p>
    <w:p w14:paraId="54FB5B5E" w14:textId="77777777" w:rsidR="00484F51" w:rsidRDefault="00000000">
      <w:pPr>
        <w:pStyle w:val="ListParagraph"/>
        <w:numPr>
          <w:ilvl w:val="0"/>
          <w:numId w:val="2"/>
        </w:numPr>
        <w:spacing w:before="40" w:after="40"/>
      </w:pPr>
      <w:r>
        <w:t>Identify and address any emerging inconsistencies in assessor practice</w:t>
      </w:r>
    </w:p>
    <w:p w14:paraId="49ECF925" w14:textId="77777777" w:rsidR="00484F51" w:rsidRDefault="00000000">
      <w:pPr>
        <w:pStyle w:val="ListParagraph"/>
        <w:numPr>
          <w:ilvl w:val="0"/>
          <w:numId w:val="2"/>
        </w:numPr>
        <w:spacing w:before="40" w:after="40"/>
      </w:pPr>
      <w:r>
        <w:t>Confirm that assessors are applying assessment criteria correctly and consistently</w:t>
      </w:r>
    </w:p>
    <w:p w14:paraId="231ECBAC" w14:textId="77777777" w:rsidR="00484F51" w:rsidRDefault="00000000">
      <w:pPr>
        <w:spacing w:before="220" w:after="80"/>
      </w:pPr>
      <w:r>
        <w:rPr>
          <w:b/>
          <w:bCs/>
          <w:color w:val="2E75B6"/>
          <w:sz w:val="24"/>
          <w:szCs w:val="24"/>
        </w:rPr>
        <w:t>7.3 Post-Assessment IQA</w:t>
      </w:r>
    </w:p>
    <w:p w14:paraId="6F78470B" w14:textId="77777777" w:rsidR="00484F51" w:rsidRDefault="00000000">
      <w:pPr>
        <w:spacing w:before="60" w:after="100"/>
      </w:pPr>
      <w:r>
        <w:t>After marking is complete, the IQA will:</w:t>
      </w:r>
    </w:p>
    <w:p w14:paraId="744A6EB9" w14:textId="77777777" w:rsidR="00484F51" w:rsidRDefault="00000000">
      <w:pPr>
        <w:pStyle w:val="ListParagraph"/>
        <w:numPr>
          <w:ilvl w:val="0"/>
          <w:numId w:val="2"/>
        </w:numPr>
        <w:spacing w:before="40" w:after="40"/>
      </w:pPr>
      <w:r>
        <w:t>Sample a representative selection of marked work, including pass, refer, and fail outcomes</w:t>
      </w:r>
    </w:p>
    <w:p w14:paraId="6686A79D" w14:textId="77777777" w:rsidR="00484F51" w:rsidRDefault="00000000">
      <w:pPr>
        <w:pStyle w:val="ListParagraph"/>
        <w:numPr>
          <w:ilvl w:val="0"/>
          <w:numId w:val="2"/>
        </w:numPr>
        <w:spacing w:before="40" w:after="40"/>
      </w:pPr>
      <w:r>
        <w:t>Review assessor decisions against the assessment criteria and qualification specification</w:t>
      </w:r>
    </w:p>
    <w:p w14:paraId="56D92E57" w14:textId="77777777" w:rsidR="00484F51" w:rsidRDefault="00000000">
      <w:pPr>
        <w:pStyle w:val="ListParagraph"/>
        <w:numPr>
          <w:ilvl w:val="0"/>
          <w:numId w:val="2"/>
        </w:numPr>
        <w:spacing w:before="40" w:after="40"/>
      </w:pPr>
      <w:r>
        <w:t>Confirm the accuracy and sufficiency of assessor feedback to learners</w:t>
      </w:r>
    </w:p>
    <w:p w14:paraId="64D3A68E" w14:textId="77777777" w:rsidR="00484F51" w:rsidRDefault="00000000">
      <w:pPr>
        <w:pStyle w:val="ListParagraph"/>
        <w:numPr>
          <w:ilvl w:val="0"/>
          <w:numId w:val="2"/>
        </w:numPr>
        <w:spacing w:before="40" w:after="40"/>
      </w:pPr>
      <w:r>
        <w:t>Confirm that assessment records are complete and accurate</w:t>
      </w:r>
    </w:p>
    <w:p w14:paraId="26A98575" w14:textId="77777777" w:rsidR="00484F51" w:rsidRDefault="00000000">
      <w:pPr>
        <w:pStyle w:val="ListParagraph"/>
        <w:numPr>
          <w:ilvl w:val="0"/>
          <w:numId w:val="2"/>
        </w:numPr>
        <w:spacing w:before="40" w:after="40"/>
      </w:pPr>
      <w:r>
        <w:t>Where discrepancies are found, provide written feedback to the assessor and, where necessary, refer the matter to the Senior Leadership Team</w:t>
      </w:r>
    </w:p>
    <w:p w14:paraId="5071943F" w14:textId="77777777" w:rsidR="00484F51" w:rsidRDefault="00484F51">
      <w:pPr>
        <w:spacing w:after="80"/>
      </w:pPr>
    </w:p>
    <w:p w14:paraId="30511E50" w14:textId="77777777" w:rsidR="00484F51" w:rsidRDefault="00000000">
      <w:pPr>
        <w:pBdr>
          <w:bottom w:val="single" w:sz="6" w:space="4" w:color="2E75B6"/>
        </w:pBdr>
        <w:spacing w:before="320" w:after="120"/>
      </w:pPr>
      <w:r>
        <w:rPr>
          <w:b/>
          <w:bCs/>
          <w:color w:val="1B3A6B"/>
          <w:sz w:val="28"/>
          <w:szCs w:val="28"/>
        </w:rPr>
        <w:t>8. Standardisation</w:t>
      </w:r>
    </w:p>
    <w:p w14:paraId="3304AC58" w14:textId="77777777" w:rsidR="00484F51" w:rsidRDefault="00000000">
      <w:pPr>
        <w:spacing w:before="60" w:after="100"/>
      </w:pPr>
      <w:r>
        <w:t>TLSPH will conduct standardisation activities to ensure consistent interpretation and application of assessment criteria across all assessors. Standardisation events will:</w:t>
      </w:r>
    </w:p>
    <w:p w14:paraId="5554782B" w14:textId="77777777" w:rsidR="00484F51" w:rsidRDefault="00000000">
      <w:pPr>
        <w:pStyle w:val="ListParagraph"/>
        <w:numPr>
          <w:ilvl w:val="0"/>
          <w:numId w:val="2"/>
        </w:numPr>
        <w:spacing w:before="40" w:after="40"/>
      </w:pPr>
      <w:r>
        <w:t>Be held at least once per qualification cycle, or more frequently where awarding body requirements specify</w:t>
      </w:r>
    </w:p>
    <w:p w14:paraId="2492FF69" w14:textId="77777777" w:rsidR="00484F51" w:rsidRDefault="00000000">
      <w:pPr>
        <w:pStyle w:val="ListParagraph"/>
        <w:numPr>
          <w:ilvl w:val="0"/>
          <w:numId w:val="2"/>
        </w:numPr>
        <w:spacing w:before="40" w:after="40"/>
      </w:pPr>
      <w:r>
        <w:t>Include review and discussion of sample assessed work</w:t>
      </w:r>
    </w:p>
    <w:p w14:paraId="365D274D" w14:textId="77777777" w:rsidR="00484F51" w:rsidRDefault="00000000">
      <w:pPr>
        <w:pStyle w:val="ListParagraph"/>
        <w:numPr>
          <w:ilvl w:val="0"/>
          <w:numId w:val="2"/>
        </w:numPr>
        <w:spacing w:before="40" w:after="40"/>
      </w:pPr>
      <w:r>
        <w:t>Be attended by all assessors working on the relevant qualification</w:t>
      </w:r>
    </w:p>
    <w:p w14:paraId="2EB98BBE" w14:textId="77777777" w:rsidR="00484F51" w:rsidRDefault="00000000">
      <w:pPr>
        <w:pStyle w:val="ListParagraph"/>
        <w:numPr>
          <w:ilvl w:val="0"/>
          <w:numId w:val="2"/>
        </w:numPr>
        <w:spacing w:before="40" w:after="40"/>
      </w:pPr>
      <w:r>
        <w:t>Be documented, with outcomes and agreed decisions recorded</w:t>
      </w:r>
    </w:p>
    <w:p w14:paraId="1F32B88A" w14:textId="77777777" w:rsidR="00484F51" w:rsidRDefault="00484F51">
      <w:pPr>
        <w:spacing w:after="80"/>
      </w:pPr>
    </w:p>
    <w:p w14:paraId="77DE48AB" w14:textId="77777777" w:rsidR="00484F51" w:rsidRDefault="00000000">
      <w:pPr>
        <w:spacing w:before="60" w:after="100"/>
      </w:pPr>
      <w:r>
        <w:lastRenderedPageBreak/>
        <w:t>Where an assessor is unable to attend a standardisation event, they will be provided with the standardisation materials and required to confirm their understanding in writing.</w:t>
      </w:r>
    </w:p>
    <w:p w14:paraId="2596AD5A" w14:textId="77777777" w:rsidR="00484F51" w:rsidRDefault="00484F51">
      <w:pPr>
        <w:spacing w:after="80"/>
      </w:pPr>
    </w:p>
    <w:p w14:paraId="20851875" w14:textId="77777777" w:rsidR="00484F51" w:rsidRDefault="00000000">
      <w:pPr>
        <w:pBdr>
          <w:bottom w:val="single" w:sz="6" w:space="4" w:color="2E75B6"/>
        </w:pBdr>
        <w:spacing w:before="320" w:after="120"/>
      </w:pPr>
      <w:r>
        <w:rPr>
          <w:b/>
          <w:bCs/>
          <w:color w:val="1B3A6B"/>
          <w:sz w:val="28"/>
          <w:szCs w:val="28"/>
        </w:rPr>
        <w:t>9. IQA Records</w:t>
      </w:r>
    </w:p>
    <w:p w14:paraId="2D081446" w14:textId="77777777" w:rsidR="00484F51" w:rsidRDefault="00000000">
      <w:pPr>
        <w:spacing w:before="60" w:after="100"/>
      </w:pPr>
      <w:r>
        <w:t>The Lead IQA will maintain a complete set of IQA records for each qualification, including:</w:t>
      </w:r>
    </w:p>
    <w:p w14:paraId="29FE9E1E" w14:textId="77777777" w:rsidR="00484F51" w:rsidRDefault="00000000">
      <w:pPr>
        <w:pStyle w:val="ListParagraph"/>
        <w:numPr>
          <w:ilvl w:val="0"/>
          <w:numId w:val="2"/>
        </w:numPr>
        <w:spacing w:before="40" w:after="40"/>
      </w:pPr>
      <w:r>
        <w:t>The IQA Sampling Plan</w:t>
      </w:r>
    </w:p>
    <w:p w14:paraId="2804B2D3" w14:textId="77777777" w:rsidR="00484F51" w:rsidRDefault="00000000">
      <w:pPr>
        <w:pStyle w:val="ListParagraph"/>
        <w:numPr>
          <w:ilvl w:val="0"/>
          <w:numId w:val="2"/>
        </w:numPr>
        <w:spacing w:before="40" w:after="40"/>
      </w:pPr>
      <w:r>
        <w:t>Records of all IQA activities, including dates, assessors sampled, and work reviewed</w:t>
      </w:r>
    </w:p>
    <w:p w14:paraId="574D1EE5" w14:textId="77777777" w:rsidR="00484F51" w:rsidRDefault="00000000">
      <w:pPr>
        <w:pStyle w:val="ListParagraph"/>
        <w:numPr>
          <w:ilvl w:val="0"/>
          <w:numId w:val="2"/>
        </w:numPr>
        <w:spacing w:before="40" w:after="40"/>
      </w:pPr>
      <w:r>
        <w:t>IQA feedback and action plans issued to assessors</w:t>
      </w:r>
    </w:p>
    <w:p w14:paraId="44A713A7" w14:textId="77777777" w:rsidR="00484F51" w:rsidRDefault="00000000">
      <w:pPr>
        <w:pStyle w:val="ListParagraph"/>
        <w:numPr>
          <w:ilvl w:val="0"/>
          <w:numId w:val="2"/>
        </w:numPr>
        <w:spacing w:before="40" w:after="40"/>
      </w:pPr>
      <w:r>
        <w:t>Standardisation meeting minutes and outcomes</w:t>
      </w:r>
    </w:p>
    <w:p w14:paraId="58A9CD0D" w14:textId="77777777" w:rsidR="00484F51" w:rsidRDefault="00000000">
      <w:pPr>
        <w:pStyle w:val="ListParagraph"/>
        <w:numPr>
          <w:ilvl w:val="0"/>
          <w:numId w:val="2"/>
        </w:numPr>
        <w:spacing w:before="40" w:after="40"/>
      </w:pPr>
      <w:r>
        <w:t>Records of any concerns raised and actions taken</w:t>
      </w:r>
    </w:p>
    <w:p w14:paraId="052C4E55" w14:textId="77777777" w:rsidR="00484F51" w:rsidRDefault="00000000">
      <w:pPr>
        <w:pStyle w:val="ListParagraph"/>
        <w:numPr>
          <w:ilvl w:val="0"/>
          <w:numId w:val="2"/>
        </w:numPr>
        <w:spacing w:before="40" w:after="40"/>
      </w:pPr>
      <w:r>
        <w:t>EQA visit reports and TLSPH's responses</w:t>
      </w:r>
    </w:p>
    <w:p w14:paraId="0FC5C7DB" w14:textId="77777777" w:rsidR="00484F51" w:rsidRDefault="00484F51">
      <w:pPr>
        <w:spacing w:after="80"/>
      </w:pPr>
    </w:p>
    <w:p w14:paraId="3190E025" w14:textId="77777777" w:rsidR="00484F51" w:rsidRDefault="00000000">
      <w:pPr>
        <w:spacing w:before="60" w:after="100"/>
      </w:pPr>
      <w:r>
        <w:t>IQA records will be retained in accordance with the Data Retention Policy (TLSPH-POL-007) and made available to the EQA on request. Where awarding body requirements specify longer retention periods, those requirements take precedence.</w:t>
      </w:r>
    </w:p>
    <w:p w14:paraId="1DF3BF24" w14:textId="77777777" w:rsidR="00484F51" w:rsidRDefault="00484F51">
      <w:pPr>
        <w:spacing w:after="80"/>
      </w:pPr>
    </w:p>
    <w:p w14:paraId="2AF8776F" w14:textId="77777777" w:rsidR="00484F51" w:rsidRDefault="00000000">
      <w:pPr>
        <w:pBdr>
          <w:bottom w:val="single" w:sz="6" w:space="4" w:color="2E75B6"/>
        </w:pBdr>
        <w:spacing w:before="320" w:after="120"/>
      </w:pPr>
      <w:r>
        <w:rPr>
          <w:b/>
          <w:bCs/>
          <w:color w:val="1B3A6B"/>
          <w:sz w:val="28"/>
          <w:szCs w:val="28"/>
        </w:rPr>
        <w:t>10. External Quality Assurance</w:t>
      </w:r>
    </w:p>
    <w:p w14:paraId="190AAF60" w14:textId="77777777" w:rsidR="00484F51" w:rsidRDefault="00000000">
      <w:pPr>
        <w:spacing w:before="60" w:after="100"/>
      </w:pPr>
      <w:r>
        <w:t>TLSPH welcomes and fully cooperates with External Quality Assurance (EQA) conducted by the relevant awarding body. TLSPH will:</w:t>
      </w:r>
    </w:p>
    <w:p w14:paraId="49F6A561" w14:textId="77777777" w:rsidR="00484F51" w:rsidRDefault="00000000">
      <w:pPr>
        <w:pStyle w:val="ListParagraph"/>
        <w:numPr>
          <w:ilvl w:val="0"/>
          <w:numId w:val="2"/>
        </w:numPr>
        <w:spacing w:before="40" w:after="40"/>
      </w:pPr>
      <w:r>
        <w:t>Ensure that all IQA records are available and accessible for EQA visits</w:t>
      </w:r>
    </w:p>
    <w:p w14:paraId="16335A39" w14:textId="77777777" w:rsidR="00484F51" w:rsidRDefault="00000000">
      <w:pPr>
        <w:pStyle w:val="ListParagraph"/>
        <w:numPr>
          <w:ilvl w:val="0"/>
          <w:numId w:val="2"/>
        </w:numPr>
        <w:spacing w:before="40" w:after="40"/>
      </w:pPr>
      <w:r>
        <w:t>Respond promptly and fully to any queries or requests from the EQA</w:t>
      </w:r>
    </w:p>
    <w:p w14:paraId="4B190A55" w14:textId="77777777" w:rsidR="00484F51" w:rsidRDefault="00000000">
      <w:pPr>
        <w:pStyle w:val="ListParagraph"/>
        <w:numPr>
          <w:ilvl w:val="0"/>
          <w:numId w:val="2"/>
        </w:numPr>
        <w:spacing w:before="40" w:after="40"/>
      </w:pPr>
      <w:r>
        <w:t>Implement any actions or recommendations arising from EQA visits within the timescales specified</w:t>
      </w:r>
    </w:p>
    <w:p w14:paraId="1AAE3F9D" w14:textId="77777777" w:rsidR="00484F51" w:rsidRDefault="00000000">
      <w:pPr>
        <w:pStyle w:val="ListParagraph"/>
        <w:numPr>
          <w:ilvl w:val="0"/>
          <w:numId w:val="2"/>
        </w:numPr>
        <w:spacing w:before="40" w:after="40"/>
      </w:pPr>
      <w:r>
        <w:t>Report the outcome of EQA visits to the Senior Leadership Team</w:t>
      </w:r>
    </w:p>
    <w:p w14:paraId="29CB309F" w14:textId="77777777" w:rsidR="00484F51" w:rsidRDefault="00000000">
      <w:pPr>
        <w:pStyle w:val="ListParagraph"/>
        <w:numPr>
          <w:ilvl w:val="0"/>
          <w:numId w:val="2"/>
        </w:numPr>
        <w:spacing w:before="40" w:after="40"/>
      </w:pPr>
      <w:r>
        <w:t>Notify the awarding body of any significant change to TLSPH's assessment or IQA arrangements in advance of implementation</w:t>
      </w:r>
    </w:p>
    <w:p w14:paraId="7314FB48"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84F51" w14:paraId="4C1DA2BE"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06F8E9DA" w14:textId="77777777" w:rsidR="00484F51" w:rsidRDefault="00000000">
            <w:pPr>
              <w:spacing w:after="60"/>
            </w:pPr>
            <w:r>
              <w:rPr>
                <w:b/>
                <w:bCs/>
                <w:color w:val="D4720A"/>
                <w:sz w:val="21"/>
                <w:szCs w:val="21"/>
              </w:rPr>
              <w:t>EQA Sanctions</w:t>
            </w:r>
          </w:p>
          <w:p w14:paraId="16300ADE" w14:textId="77777777" w:rsidR="00484F51" w:rsidRDefault="00000000">
            <w:pPr>
              <w:spacing w:before="10" w:after="10"/>
            </w:pPr>
            <w:r>
              <w:rPr>
                <w:sz w:val="20"/>
                <w:szCs w:val="20"/>
              </w:rPr>
              <w:t>Where an EQA identifies serious or persistent failures in TLSPH's IQA or assessment practices, the awarding body may impose sanctions including direct claims suspension, conditions on centre approval, or withdrawal of centre approval. TLSPH is committed to maintaining standards that make such outcomes unnecessary.</w:t>
            </w:r>
          </w:p>
        </w:tc>
      </w:tr>
    </w:tbl>
    <w:p w14:paraId="27F9206D" w14:textId="77777777" w:rsidR="00484F51" w:rsidRDefault="00484F51">
      <w:pPr>
        <w:spacing w:after="80"/>
      </w:pPr>
    </w:p>
    <w:p w14:paraId="1B5DC16D" w14:textId="77777777" w:rsidR="00484F51" w:rsidRDefault="00000000">
      <w:pPr>
        <w:pBdr>
          <w:bottom w:val="single" w:sz="6" w:space="4" w:color="2E75B6"/>
        </w:pBdr>
        <w:spacing w:before="320" w:after="120"/>
      </w:pPr>
      <w:r>
        <w:rPr>
          <w:b/>
          <w:bCs/>
          <w:color w:val="1B3A6B"/>
          <w:sz w:val="28"/>
          <w:szCs w:val="28"/>
        </w:rPr>
        <w:t>11. Continuing Professional Development</w:t>
      </w:r>
    </w:p>
    <w:p w14:paraId="76D2458A" w14:textId="77777777" w:rsidR="00484F51" w:rsidRDefault="00000000">
      <w:pPr>
        <w:spacing w:before="60" w:after="100"/>
      </w:pPr>
      <w:r>
        <w:t>TLSPH is committed to the ongoing professional development of all assessment and IQA personnel. All assessors and IQAs will:</w:t>
      </w:r>
    </w:p>
    <w:p w14:paraId="7BC2C241" w14:textId="77777777" w:rsidR="00484F51" w:rsidRDefault="00000000">
      <w:pPr>
        <w:pStyle w:val="ListParagraph"/>
        <w:numPr>
          <w:ilvl w:val="0"/>
          <w:numId w:val="2"/>
        </w:numPr>
        <w:spacing w:before="40" w:after="40"/>
      </w:pPr>
      <w:r>
        <w:t>Maintain a CPD record evidencing ongoing development in their subject area and assessment/IQA practice</w:t>
      </w:r>
    </w:p>
    <w:p w14:paraId="79A33304" w14:textId="77777777" w:rsidR="00484F51" w:rsidRDefault="00000000">
      <w:pPr>
        <w:pStyle w:val="ListParagraph"/>
        <w:numPr>
          <w:ilvl w:val="0"/>
          <w:numId w:val="2"/>
        </w:numPr>
        <w:spacing w:before="40" w:after="40"/>
      </w:pPr>
      <w:r>
        <w:t>Attend TLSPH standardisation events and any awarding body CPD or update events</w:t>
      </w:r>
    </w:p>
    <w:p w14:paraId="04E926F4" w14:textId="77777777" w:rsidR="00484F51" w:rsidRDefault="00000000">
      <w:pPr>
        <w:pStyle w:val="ListParagraph"/>
        <w:numPr>
          <w:ilvl w:val="0"/>
          <w:numId w:val="2"/>
        </w:numPr>
        <w:spacing w:before="40" w:after="40"/>
      </w:pPr>
      <w:r>
        <w:lastRenderedPageBreak/>
        <w:t>Keep up to date with changes to qualification specifications, assessment requirements, and awarding body guidance</w:t>
      </w:r>
    </w:p>
    <w:p w14:paraId="7F8813E9" w14:textId="77777777" w:rsidR="00484F51" w:rsidRDefault="00484F51">
      <w:pPr>
        <w:spacing w:after="80"/>
      </w:pPr>
    </w:p>
    <w:p w14:paraId="2270D778" w14:textId="77777777" w:rsidR="00484F51" w:rsidRDefault="00000000">
      <w:pPr>
        <w:spacing w:before="60" w:after="100"/>
      </w:pPr>
      <w:r>
        <w:t>CPD records are maintained by the Senior Leadership Team and reviewed annually as part of the policy review.</w:t>
      </w:r>
    </w:p>
    <w:p w14:paraId="5E06D9F4" w14:textId="77777777" w:rsidR="00484F51" w:rsidRDefault="00484F51">
      <w:pPr>
        <w:spacing w:after="80"/>
      </w:pPr>
    </w:p>
    <w:p w14:paraId="47E44ACB" w14:textId="77777777" w:rsidR="00484F51" w:rsidRDefault="00000000">
      <w:pPr>
        <w:pBdr>
          <w:bottom w:val="single" w:sz="6" w:space="4" w:color="2E75B6"/>
        </w:pBdr>
        <w:spacing w:before="320" w:after="120"/>
      </w:pPr>
      <w:r>
        <w:rPr>
          <w:b/>
          <w:bCs/>
          <w:color w:val="1B3A6B"/>
          <w:sz w:val="28"/>
          <w:szCs w:val="28"/>
        </w:rPr>
        <w:t>12. Related Policies</w:t>
      </w:r>
    </w:p>
    <w:p w14:paraId="1C162FD4" w14:textId="77777777" w:rsidR="00484F51" w:rsidRDefault="00000000">
      <w:pPr>
        <w:pStyle w:val="ListParagraph"/>
        <w:numPr>
          <w:ilvl w:val="0"/>
          <w:numId w:val="2"/>
        </w:numPr>
        <w:spacing w:before="40" w:after="40"/>
      </w:pPr>
      <w:r>
        <w:t>Malpractice &amp; Maladministration Policy (TLSPH-POL-017)</w:t>
      </w:r>
    </w:p>
    <w:p w14:paraId="1A35A8F1" w14:textId="77777777" w:rsidR="00484F51" w:rsidRDefault="00000000">
      <w:pPr>
        <w:pStyle w:val="ListParagraph"/>
        <w:numPr>
          <w:ilvl w:val="0"/>
          <w:numId w:val="2"/>
        </w:numPr>
        <w:spacing w:before="40" w:after="40"/>
      </w:pPr>
      <w:r>
        <w:t>Reasonable Adjustments &amp; Special Considerations Policy (TLSPH-POL-019)</w:t>
      </w:r>
    </w:p>
    <w:p w14:paraId="179EDF9F" w14:textId="77777777" w:rsidR="00484F51" w:rsidRDefault="00000000">
      <w:pPr>
        <w:pStyle w:val="ListParagraph"/>
        <w:numPr>
          <w:ilvl w:val="0"/>
          <w:numId w:val="2"/>
        </w:numPr>
        <w:spacing w:before="40" w:after="40"/>
      </w:pPr>
      <w:r>
        <w:t>Academic Integrity &amp; Plagiarism Policy (TLSPH-POL-006)</w:t>
      </w:r>
    </w:p>
    <w:p w14:paraId="44F5A7D6" w14:textId="77777777" w:rsidR="00484F51" w:rsidRDefault="00000000">
      <w:pPr>
        <w:pStyle w:val="ListParagraph"/>
        <w:numPr>
          <w:ilvl w:val="0"/>
          <w:numId w:val="2"/>
        </w:numPr>
        <w:spacing w:before="40" w:after="40"/>
      </w:pPr>
      <w:r>
        <w:t>Conflicts of Interest Policy (TLSPH-POL-013)</w:t>
      </w:r>
    </w:p>
    <w:p w14:paraId="1F3484C0" w14:textId="77777777" w:rsidR="00484F51" w:rsidRDefault="00000000">
      <w:pPr>
        <w:pStyle w:val="ListParagraph"/>
        <w:numPr>
          <w:ilvl w:val="0"/>
          <w:numId w:val="2"/>
        </w:numPr>
        <w:spacing w:before="40" w:after="40"/>
      </w:pPr>
      <w:r>
        <w:t>Data Retention Policy (TLSPH-POL-007)</w:t>
      </w:r>
    </w:p>
    <w:p w14:paraId="3CD58295" w14:textId="77777777" w:rsidR="00484F51" w:rsidRDefault="00000000">
      <w:pPr>
        <w:pStyle w:val="ListParagraph"/>
        <w:numPr>
          <w:ilvl w:val="0"/>
          <w:numId w:val="2"/>
        </w:numPr>
        <w:spacing w:before="40" w:after="40"/>
      </w:pPr>
      <w:r>
        <w:t>Student Complaints &amp; Appeals Policy (TLSPH-POL-004)</w:t>
      </w:r>
    </w:p>
    <w:p w14:paraId="65FF56E2" w14:textId="77777777" w:rsidR="00484F51" w:rsidRDefault="00484F51">
      <w:pPr>
        <w:spacing w:after="80"/>
      </w:pPr>
    </w:p>
    <w:p w14:paraId="0FB50441" w14:textId="77777777" w:rsidR="00484F51" w:rsidRDefault="00000000">
      <w:pPr>
        <w:pBdr>
          <w:bottom w:val="single" w:sz="6" w:space="4" w:color="2E75B6"/>
        </w:pBdr>
        <w:spacing w:before="320" w:after="120"/>
      </w:pPr>
      <w:r>
        <w:rPr>
          <w:b/>
          <w:bCs/>
          <w:color w:val="1B3A6B"/>
          <w:sz w:val="28"/>
          <w:szCs w:val="28"/>
        </w:rPr>
        <w:t>13. Awarding Body References</w:t>
      </w:r>
    </w:p>
    <w:p w14:paraId="2E70F786"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02A5BEE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D49537" w14:textId="77777777" w:rsidR="00484F51" w:rsidRDefault="00000000">
            <w:r>
              <w:rPr>
                <w:b/>
                <w:bCs/>
                <w:color w:val="1B3A6B"/>
                <w:sz w:val="20"/>
                <w:szCs w:val="20"/>
              </w:rPr>
              <w:t>NCFE / CACHE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C6D2808" w14:textId="77777777" w:rsidR="00484F51" w:rsidRDefault="00000000">
            <w:r>
              <w:rPr>
                <w:sz w:val="20"/>
                <w:szCs w:val="20"/>
              </w:rPr>
              <w:t>www.ncfe.org.uk — Centre Handbook and IQA requirements</w:t>
            </w:r>
          </w:p>
        </w:tc>
      </w:tr>
    </w:tbl>
    <w:p w14:paraId="2B9A8C66"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6580551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308FA06" w14:textId="77777777" w:rsidR="00484F51" w:rsidRDefault="00000000">
            <w:r>
              <w:rPr>
                <w:b/>
                <w:bCs/>
                <w:color w:val="1B3A6B"/>
                <w:sz w:val="20"/>
                <w:szCs w:val="20"/>
              </w:rPr>
              <w:t>ABMA Education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A6CA845" w14:textId="77777777" w:rsidR="00484F51" w:rsidRDefault="00000000">
            <w:r>
              <w:rPr>
                <w:sz w:val="20"/>
                <w:szCs w:val="20"/>
              </w:rPr>
              <w:t>www.abma.uk.com — Centre Requirements</w:t>
            </w:r>
          </w:p>
        </w:tc>
      </w:tr>
    </w:tbl>
    <w:p w14:paraId="074CBD55"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22246ED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0809EC" w14:textId="77777777" w:rsidR="00484F51" w:rsidRDefault="00000000">
            <w:r>
              <w:rPr>
                <w:b/>
                <w:bCs/>
                <w:color w:val="1B3A6B"/>
                <w:sz w:val="20"/>
                <w:szCs w:val="20"/>
              </w:rPr>
              <w:t>CPD Certification Service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D716460" w14:textId="77777777" w:rsidR="00484F51" w:rsidRDefault="00000000">
            <w:r>
              <w:rPr>
                <w:sz w:val="20"/>
                <w:szCs w:val="20"/>
              </w:rPr>
              <w:t>www.cpduk.co.uk</w:t>
            </w:r>
          </w:p>
        </w:tc>
      </w:tr>
    </w:tbl>
    <w:p w14:paraId="6ABD489B"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1CCBD25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9750F9" w14:textId="77777777" w:rsidR="00484F51"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A0A6B87" w14:textId="77777777" w:rsidR="00484F51" w:rsidRDefault="00000000">
            <w:r>
              <w:rPr>
                <w:sz w:val="20"/>
                <w:szCs w:val="20"/>
              </w:rPr>
              <w:t>www.gov.uk/ofqual — General Conditions of Recognition</w:t>
            </w:r>
          </w:p>
        </w:tc>
      </w:tr>
    </w:tbl>
    <w:p w14:paraId="525030B6" w14:textId="77777777" w:rsidR="00484F51" w:rsidRDefault="00484F51">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84F51" w14:paraId="35BD72E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69944D" w14:textId="77777777" w:rsidR="00484F51" w:rsidRDefault="00000000">
            <w:r>
              <w:rPr>
                <w:b/>
                <w:bCs/>
                <w:color w:val="1B3A6B"/>
                <w:sz w:val="20"/>
                <w:szCs w:val="20"/>
              </w:rPr>
              <w:t>QAA</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26B342E" w14:textId="77777777" w:rsidR="00484F51" w:rsidRDefault="00000000">
            <w:r>
              <w:rPr>
                <w:sz w:val="20"/>
                <w:szCs w:val="20"/>
              </w:rPr>
              <w:t>www.qaa.ac.uk — UK Quality Code</w:t>
            </w:r>
          </w:p>
        </w:tc>
      </w:tr>
    </w:tbl>
    <w:p w14:paraId="3FED9F25" w14:textId="77777777" w:rsidR="00484F51" w:rsidRDefault="00484F51">
      <w:pPr>
        <w:spacing w:after="80"/>
      </w:pPr>
    </w:p>
    <w:p w14:paraId="19FF341F" w14:textId="77777777" w:rsidR="00484F51" w:rsidRDefault="00484F5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84F51" w14:paraId="0720F5A8"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6E7F4F64" w14:textId="77777777" w:rsidR="00484F51" w:rsidRDefault="00000000">
            <w:pPr>
              <w:spacing w:before="40" w:after="40"/>
            </w:pPr>
            <w:r>
              <w:rPr>
                <w:b/>
                <w:bCs/>
                <w:color w:val="1B3A6B"/>
                <w:sz w:val="20"/>
                <w:szCs w:val="20"/>
              </w:rPr>
              <w:t>Policy Review</w:t>
            </w:r>
          </w:p>
          <w:p w14:paraId="2515B022" w14:textId="77777777" w:rsidR="00484F51" w:rsidRDefault="00000000">
            <w:pPr>
              <w:spacing w:before="20" w:after="20"/>
            </w:pPr>
            <w:r>
              <w:rPr>
                <w:sz w:val="19"/>
                <w:szCs w:val="19"/>
              </w:rPr>
              <w:t>This policy is reviewed annually by the Senior Leadership Team and updated to reflect any changes to Ofqual's General Conditions of Recognition (in particular Conditions H6, H3, G4, and A8), awarding body centre handbooks (NCFE/CACHE, ABMA Education, CPD Certification Service), and QAA UK Quality Code guidance. The IQA Sampling Plan is reviewed and updated at the start of each qualification cycle.</w:t>
            </w:r>
          </w:p>
          <w:p w14:paraId="4C12C51E" w14:textId="77777777" w:rsidR="00484F51" w:rsidRDefault="00000000">
            <w:pPr>
              <w:spacing w:before="20" w:after="40"/>
            </w:pPr>
            <w:r>
              <w:rPr>
                <w:i/>
                <w:iCs/>
                <w:color w:val="555555"/>
                <w:sz w:val="19"/>
                <w:szCs w:val="19"/>
              </w:rPr>
              <w:t>Last Reviewed: June 2026   |   Next Review Due: June 2027   |   Version: 1.0</w:t>
            </w:r>
          </w:p>
        </w:tc>
      </w:tr>
    </w:tbl>
    <w:p w14:paraId="167CD4C6" w14:textId="77777777" w:rsidR="00272511" w:rsidRDefault="00272511"/>
    <w:sectPr w:rsidR="00272511">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0A54" w14:textId="77777777" w:rsidR="00272511" w:rsidRDefault="00272511">
      <w:r>
        <w:separator/>
      </w:r>
    </w:p>
  </w:endnote>
  <w:endnote w:type="continuationSeparator" w:id="0">
    <w:p w14:paraId="35353DF5" w14:textId="77777777" w:rsidR="00272511" w:rsidRDefault="0027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DB19" w14:textId="77777777" w:rsidR="00484F51" w:rsidRDefault="00000000">
    <w:pPr>
      <w:pBdr>
        <w:top w:val="single" w:sz="4" w:space="4" w:color="2E75B6"/>
      </w:pBdr>
      <w:spacing w:before="80"/>
    </w:pPr>
    <w:r>
      <w:rPr>
        <w:color w:val="888888"/>
        <w:sz w:val="16"/>
        <w:szCs w:val="16"/>
      </w:rPr>
      <w:t>Internal Quality Assurance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979B" w14:textId="77777777" w:rsidR="00272511" w:rsidRDefault="00272511">
      <w:r>
        <w:separator/>
      </w:r>
    </w:p>
  </w:footnote>
  <w:footnote w:type="continuationSeparator" w:id="0">
    <w:p w14:paraId="3ABB3330" w14:textId="77777777" w:rsidR="00272511" w:rsidRDefault="0027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D868" w14:textId="77777777" w:rsidR="00484F51" w:rsidRDefault="00000000">
    <w:pPr>
      <w:pBdr>
        <w:bottom w:val="single" w:sz="6" w:space="6" w:color="2E75B6"/>
      </w:pBdr>
    </w:pPr>
    <w:r>
      <w:rPr>
        <w:noProof/>
      </w:rPr>
      <w:drawing>
        <wp:inline distT="0" distB="0" distL="0" distR="0" wp14:anchorId="70069A47" wp14:editId="4859970B">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56"/>
    <w:multiLevelType w:val="hybridMultilevel"/>
    <w:tmpl w:val="8C925B60"/>
    <w:lvl w:ilvl="0" w:tplc="DBE8E698">
      <w:start w:val="1"/>
      <w:numFmt w:val="decimal"/>
      <w:lvlText w:val="%1."/>
      <w:lvlJc w:val="left"/>
      <w:pPr>
        <w:ind w:left="720" w:hanging="360"/>
      </w:pPr>
    </w:lvl>
    <w:lvl w:ilvl="1" w:tplc="FA90E9EE">
      <w:numFmt w:val="decimal"/>
      <w:lvlText w:val=""/>
      <w:lvlJc w:val="left"/>
    </w:lvl>
    <w:lvl w:ilvl="2" w:tplc="05D62482">
      <w:numFmt w:val="decimal"/>
      <w:lvlText w:val=""/>
      <w:lvlJc w:val="left"/>
    </w:lvl>
    <w:lvl w:ilvl="3" w:tplc="EA6CE368">
      <w:numFmt w:val="decimal"/>
      <w:lvlText w:val=""/>
      <w:lvlJc w:val="left"/>
    </w:lvl>
    <w:lvl w:ilvl="4" w:tplc="A39C1CDC">
      <w:numFmt w:val="decimal"/>
      <w:lvlText w:val=""/>
      <w:lvlJc w:val="left"/>
    </w:lvl>
    <w:lvl w:ilvl="5" w:tplc="6FF6CF76">
      <w:numFmt w:val="decimal"/>
      <w:lvlText w:val=""/>
      <w:lvlJc w:val="left"/>
    </w:lvl>
    <w:lvl w:ilvl="6" w:tplc="A09AC15A">
      <w:numFmt w:val="decimal"/>
      <w:lvlText w:val=""/>
      <w:lvlJc w:val="left"/>
    </w:lvl>
    <w:lvl w:ilvl="7" w:tplc="49E8C1FC">
      <w:numFmt w:val="decimal"/>
      <w:lvlText w:val=""/>
      <w:lvlJc w:val="left"/>
    </w:lvl>
    <w:lvl w:ilvl="8" w:tplc="8490FA42">
      <w:numFmt w:val="decimal"/>
      <w:lvlText w:val=""/>
      <w:lvlJc w:val="left"/>
    </w:lvl>
  </w:abstractNum>
  <w:abstractNum w:abstractNumId="1" w15:restartNumberingAfterBreak="0">
    <w:nsid w:val="4A1F58BC"/>
    <w:multiLevelType w:val="hybridMultilevel"/>
    <w:tmpl w:val="B69887C2"/>
    <w:lvl w:ilvl="0" w:tplc="C10A55F2">
      <w:start w:val="1"/>
      <w:numFmt w:val="bullet"/>
      <w:lvlText w:val="●"/>
      <w:lvlJc w:val="left"/>
      <w:pPr>
        <w:ind w:left="720" w:hanging="360"/>
      </w:pPr>
    </w:lvl>
    <w:lvl w:ilvl="1" w:tplc="BA32B9BE">
      <w:start w:val="1"/>
      <w:numFmt w:val="bullet"/>
      <w:lvlText w:val="○"/>
      <w:lvlJc w:val="left"/>
      <w:pPr>
        <w:ind w:left="1440" w:hanging="360"/>
      </w:pPr>
    </w:lvl>
    <w:lvl w:ilvl="2" w:tplc="54721E1A">
      <w:start w:val="1"/>
      <w:numFmt w:val="bullet"/>
      <w:lvlText w:val="■"/>
      <w:lvlJc w:val="left"/>
      <w:pPr>
        <w:ind w:left="2160" w:hanging="360"/>
      </w:pPr>
    </w:lvl>
    <w:lvl w:ilvl="3" w:tplc="11B0C9C6">
      <w:start w:val="1"/>
      <w:numFmt w:val="bullet"/>
      <w:lvlText w:val="●"/>
      <w:lvlJc w:val="left"/>
      <w:pPr>
        <w:ind w:left="2880" w:hanging="360"/>
      </w:pPr>
    </w:lvl>
    <w:lvl w:ilvl="4" w:tplc="4B24215C">
      <w:start w:val="1"/>
      <w:numFmt w:val="bullet"/>
      <w:lvlText w:val="○"/>
      <w:lvlJc w:val="left"/>
      <w:pPr>
        <w:ind w:left="3600" w:hanging="360"/>
      </w:pPr>
    </w:lvl>
    <w:lvl w:ilvl="5" w:tplc="2B22455E">
      <w:start w:val="1"/>
      <w:numFmt w:val="bullet"/>
      <w:lvlText w:val="■"/>
      <w:lvlJc w:val="left"/>
      <w:pPr>
        <w:ind w:left="4320" w:hanging="360"/>
      </w:pPr>
    </w:lvl>
    <w:lvl w:ilvl="6" w:tplc="8B0E0E06">
      <w:start w:val="1"/>
      <w:numFmt w:val="bullet"/>
      <w:lvlText w:val="●"/>
      <w:lvlJc w:val="left"/>
      <w:pPr>
        <w:ind w:left="5040" w:hanging="360"/>
      </w:pPr>
    </w:lvl>
    <w:lvl w:ilvl="7" w:tplc="65642EA4">
      <w:start w:val="1"/>
      <w:numFmt w:val="bullet"/>
      <w:lvlText w:val="●"/>
      <w:lvlJc w:val="left"/>
      <w:pPr>
        <w:ind w:left="5760" w:hanging="360"/>
      </w:pPr>
    </w:lvl>
    <w:lvl w:ilvl="8" w:tplc="8FC05F92">
      <w:start w:val="1"/>
      <w:numFmt w:val="bullet"/>
      <w:lvlText w:val="●"/>
      <w:lvlJc w:val="left"/>
      <w:pPr>
        <w:ind w:left="6480" w:hanging="360"/>
      </w:pPr>
    </w:lvl>
  </w:abstractNum>
  <w:abstractNum w:abstractNumId="2" w15:restartNumberingAfterBreak="0">
    <w:nsid w:val="73277384"/>
    <w:multiLevelType w:val="hybridMultilevel"/>
    <w:tmpl w:val="CC8A7D1A"/>
    <w:lvl w:ilvl="0" w:tplc="B64AB0D8">
      <w:start w:val="1"/>
      <w:numFmt w:val="bullet"/>
      <w:lvlText w:val="•"/>
      <w:lvlJc w:val="left"/>
      <w:pPr>
        <w:ind w:left="720" w:hanging="360"/>
      </w:pPr>
    </w:lvl>
    <w:lvl w:ilvl="1" w:tplc="E4C61D7C">
      <w:numFmt w:val="decimal"/>
      <w:lvlText w:val=""/>
      <w:lvlJc w:val="left"/>
    </w:lvl>
    <w:lvl w:ilvl="2" w:tplc="8E027378">
      <w:numFmt w:val="decimal"/>
      <w:lvlText w:val=""/>
      <w:lvlJc w:val="left"/>
    </w:lvl>
    <w:lvl w:ilvl="3" w:tplc="3A181BD0">
      <w:numFmt w:val="decimal"/>
      <w:lvlText w:val=""/>
      <w:lvlJc w:val="left"/>
    </w:lvl>
    <w:lvl w:ilvl="4" w:tplc="6896B14C">
      <w:numFmt w:val="decimal"/>
      <w:lvlText w:val=""/>
      <w:lvlJc w:val="left"/>
    </w:lvl>
    <w:lvl w:ilvl="5" w:tplc="3FEA4D2E">
      <w:numFmt w:val="decimal"/>
      <w:lvlText w:val=""/>
      <w:lvlJc w:val="left"/>
    </w:lvl>
    <w:lvl w:ilvl="6" w:tplc="4666088A">
      <w:numFmt w:val="decimal"/>
      <w:lvlText w:val=""/>
      <w:lvlJc w:val="left"/>
    </w:lvl>
    <w:lvl w:ilvl="7" w:tplc="D9D2E88A">
      <w:numFmt w:val="decimal"/>
      <w:lvlText w:val=""/>
      <w:lvlJc w:val="left"/>
    </w:lvl>
    <w:lvl w:ilvl="8" w:tplc="A590F890">
      <w:numFmt w:val="decimal"/>
      <w:lvlText w:val=""/>
      <w:lvlJc w:val="left"/>
    </w:lvl>
  </w:abstractNum>
  <w:num w:numId="1" w16cid:durableId="1786584020">
    <w:abstractNumId w:val="1"/>
    <w:lvlOverride w:ilvl="0">
      <w:startOverride w:val="1"/>
    </w:lvlOverride>
  </w:num>
  <w:num w:numId="2" w16cid:durableId="16435808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51"/>
    <w:rsid w:val="00272511"/>
    <w:rsid w:val="00484F51"/>
    <w:rsid w:val="007F3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063F6E"/>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2026-05-11T21:33:00Z</dcterms:created>
  <dcterms:modified xsi:type="dcterms:W3CDTF">2026-05-11T21:33:00Z</dcterms:modified>
</cp:coreProperties>
</file>