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BD8" w14:textId="77777777" w:rsidR="009520B9" w:rsidRDefault="009520B9">
      <w:pPr>
        <w:spacing w:after="80"/>
      </w:pPr>
    </w:p>
    <w:p w14:paraId="7A4F4CEB" w14:textId="77777777" w:rsidR="009520B9" w:rsidRDefault="00000000">
      <w:pPr>
        <w:spacing w:before="80" w:after="40"/>
      </w:pPr>
      <w:r>
        <w:rPr>
          <w:b/>
          <w:bCs/>
          <w:color w:val="1B3A6B"/>
          <w:sz w:val="46"/>
          <w:szCs w:val="46"/>
        </w:rPr>
        <w:t>Recruitment &amp; Selection Policy</w:t>
      </w:r>
    </w:p>
    <w:p w14:paraId="4F46D273" w14:textId="77777777" w:rsidR="009520B9" w:rsidRDefault="00000000">
      <w:pPr>
        <w:pBdr>
          <w:bottom w:val="single" w:sz="8" w:space="4" w:color="2E75B6"/>
        </w:pBdr>
        <w:spacing w:after="200"/>
      </w:pPr>
      <w:r>
        <w:rPr>
          <w:color w:val="555555"/>
        </w:rPr>
        <w:t>TLSPH LTD  |  The London School of Public Health</w:t>
      </w:r>
    </w:p>
    <w:p w14:paraId="6B046203" w14:textId="77777777" w:rsidR="009520B9" w:rsidRDefault="009520B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9520B9" w14:paraId="78C04FE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230FDEF" w14:textId="77777777" w:rsidR="009520B9" w:rsidRDefault="00000000">
            <w:r>
              <w:rPr>
                <w:b/>
                <w:bCs/>
                <w:color w:val="1B3A6B"/>
                <w:sz w:val="20"/>
                <w:szCs w:val="20"/>
              </w:rPr>
              <w:t>Policy Reference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4C8A8294" w14:textId="77777777" w:rsidR="009520B9" w:rsidRDefault="00000000">
            <w:r>
              <w:rPr>
                <w:sz w:val="20"/>
                <w:szCs w:val="20"/>
              </w:rPr>
              <w:t>TLSPH-POL-015</w:t>
            </w:r>
          </w:p>
        </w:tc>
      </w:tr>
    </w:tbl>
    <w:p w14:paraId="04C6B048" w14:textId="77777777" w:rsidR="009520B9" w:rsidRDefault="009520B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9520B9" w14:paraId="78D6549B"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5657FC3" w14:textId="77777777" w:rsidR="009520B9" w:rsidRDefault="00000000">
            <w:r>
              <w:rPr>
                <w:b/>
                <w:bCs/>
                <w:color w:val="1B3A6B"/>
                <w:sz w:val="20"/>
                <w:szCs w:val="20"/>
              </w:rPr>
              <w:t>Version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1E3523A" w14:textId="77777777" w:rsidR="009520B9" w:rsidRDefault="00000000">
            <w:r>
              <w:rPr>
                <w:sz w:val="20"/>
                <w:szCs w:val="20"/>
              </w:rPr>
              <w:t>1.0</w:t>
            </w:r>
          </w:p>
        </w:tc>
      </w:tr>
    </w:tbl>
    <w:p w14:paraId="5178C0D5" w14:textId="77777777" w:rsidR="009520B9" w:rsidRDefault="009520B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9520B9" w14:paraId="2F22D63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08A9568" w14:textId="77777777" w:rsidR="009520B9" w:rsidRDefault="00000000">
            <w:r>
              <w:rPr>
                <w:b/>
                <w:bCs/>
                <w:color w:val="1B3A6B"/>
                <w:sz w:val="20"/>
                <w:szCs w:val="20"/>
              </w:rPr>
              <w:t>Date Issued</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F926B14" w14:textId="77777777" w:rsidR="009520B9" w:rsidRDefault="00000000">
            <w:r>
              <w:rPr>
                <w:sz w:val="20"/>
                <w:szCs w:val="20"/>
              </w:rPr>
              <w:t>May 2026</w:t>
            </w:r>
          </w:p>
        </w:tc>
      </w:tr>
    </w:tbl>
    <w:p w14:paraId="66814190" w14:textId="77777777" w:rsidR="009520B9" w:rsidRDefault="009520B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9520B9" w14:paraId="187DFC48"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7BD30FE" w14:textId="77777777" w:rsidR="009520B9" w:rsidRDefault="00000000">
            <w:r>
              <w:rPr>
                <w:b/>
                <w:bCs/>
                <w:color w:val="1B3A6B"/>
                <w:sz w:val="20"/>
                <w:szCs w:val="20"/>
              </w:rPr>
              <w:t>Next Review Date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00D4789" w14:textId="77777777" w:rsidR="009520B9" w:rsidRDefault="00000000">
            <w:r>
              <w:rPr>
                <w:sz w:val="20"/>
                <w:szCs w:val="20"/>
              </w:rPr>
              <w:t>May 2027</w:t>
            </w:r>
          </w:p>
        </w:tc>
      </w:tr>
    </w:tbl>
    <w:p w14:paraId="344421C3" w14:textId="77777777" w:rsidR="009520B9" w:rsidRDefault="009520B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9520B9" w14:paraId="332B07A9"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4D0018A" w14:textId="77777777" w:rsidR="009520B9" w:rsidRDefault="00000000">
            <w:r>
              <w:rPr>
                <w:b/>
                <w:bCs/>
                <w:color w:val="1B3A6B"/>
                <w:sz w:val="20"/>
                <w:szCs w:val="20"/>
              </w:rPr>
              <w:t>Policy Owner</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AD7C847" w14:textId="77777777" w:rsidR="009520B9" w:rsidRDefault="00000000">
            <w:r>
              <w:rPr>
                <w:sz w:val="20"/>
                <w:szCs w:val="20"/>
              </w:rPr>
              <w:t>Senior Leadership Team</w:t>
            </w:r>
          </w:p>
        </w:tc>
      </w:tr>
    </w:tbl>
    <w:p w14:paraId="14D1BD42" w14:textId="77777777" w:rsidR="009520B9" w:rsidRDefault="009520B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9520B9" w14:paraId="1CA1B25C"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D563ECE" w14:textId="77777777" w:rsidR="009520B9" w:rsidRDefault="00000000">
            <w:r>
              <w:rPr>
                <w:b/>
                <w:bCs/>
                <w:color w:val="1B3A6B"/>
                <w:sz w:val="20"/>
                <w:szCs w:val="20"/>
              </w:rPr>
              <w:t>Applies To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0B436A9" w14:textId="77777777" w:rsidR="009520B9" w:rsidRDefault="00000000">
            <w:r>
              <w:rPr>
                <w:sz w:val="20"/>
                <w:szCs w:val="20"/>
              </w:rPr>
              <w:t>All recruitment of employees, tutors, contractors and volunteers by TLSPH LTD</w:t>
            </w:r>
          </w:p>
        </w:tc>
      </w:tr>
    </w:tbl>
    <w:p w14:paraId="02443969" w14:textId="77777777" w:rsidR="009520B9" w:rsidRDefault="009520B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9520B9" w14:paraId="4551A56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E5B22CA" w14:textId="77777777" w:rsidR="009520B9" w:rsidRDefault="00000000">
            <w:r>
              <w:rPr>
                <w:b/>
                <w:bCs/>
                <w:color w:val="1B3A6B"/>
                <w:sz w:val="20"/>
                <w:szCs w:val="20"/>
              </w:rPr>
              <w:t>UK Legislative Framework</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9524C9A" w14:textId="77777777" w:rsidR="009520B9" w:rsidRDefault="00000000">
            <w:r>
              <w:rPr>
                <w:sz w:val="20"/>
                <w:szCs w:val="20"/>
              </w:rPr>
              <w:t>Equality Act 2010 | Employment Rights Act 1996 | Asylum and Immigration Act 1996 | Rehabilitation of Offenders Act 1974 (as amended) | Safeguarding Vulnerable Groups Act 2006 | Police Act 1997 | Immigration, Asylum and Nationality Act 2006 | UK General Data Protection Regulation (UK GDPR) | Data Protection Act 2018 | Keeping Children Safe in Education (KCSIE) 2023 | ACAS Code of Practice on Recruitment | ICO Employment Practices Guidance</w:t>
            </w:r>
          </w:p>
        </w:tc>
      </w:tr>
    </w:tbl>
    <w:p w14:paraId="6842F5FF" w14:textId="77777777" w:rsidR="009520B9" w:rsidRDefault="009520B9">
      <w:pPr>
        <w:spacing w:after="80"/>
      </w:pPr>
    </w:p>
    <w:p w14:paraId="6BE41D76" w14:textId="77777777" w:rsidR="009520B9" w:rsidRDefault="009520B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520B9" w14:paraId="4E8EC32B"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EAF7EF"/>
            <w:tcMar>
              <w:top w:w="120" w:type="dxa"/>
              <w:left w:w="200" w:type="dxa"/>
              <w:bottom w:w="120" w:type="dxa"/>
              <w:right w:w="200" w:type="dxa"/>
            </w:tcMar>
          </w:tcPr>
          <w:p w14:paraId="294B324D" w14:textId="77777777" w:rsidR="009520B9" w:rsidRDefault="00000000">
            <w:pPr>
              <w:spacing w:after="60"/>
            </w:pPr>
            <w:r>
              <w:rPr>
                <w:b/>
                <w:bCs/>
                <w:color w:val="1A7A4A"/>
                <w:sz w:val="21"/>
                <w:szCs w:val="21"/>
              </w:rPr>
              <w:t>Fair and Safe Recruitment</w:t>
            </w:r>
          </w:p>
          <w:p w14:paraId="44D58652" w14:textId="77777777" w:rsidR="009520B9" w:rsidRDefault="00000000">
            <w:pPr>
              <w:spacing w:before="10" w:after="10"/>
            </w:pPr>
            <w:r>
              <w:rPr>
                <w:sz w:val="20"/>
                <w:szCs w:val="20"/>
              </w:rPr>
              <w:t>TLSPH LTD is committed to recruiting the best candidates through a process that is fair, transparent, and free from unlawful discrimination. As an education provider, TLSPH is also committed to safer recruitment practices to safeguard the students and vulnerable adults in our learning community.</w:t>
            </w:r>
          </w:p>
        </w:tc>
      </w:tr>
    </w:tbl>
    <w:p w14:paraId="55E2181E" w14:textId="77777777" w:rsidR="009520B9" w:rsidRDefault="009520B9">
      <w:pPr>
        <w:spacing w:after="80"/>
      </w:pPr>
    </w:p>
    <w:p w14:paraId="5DC42C62" w14:textId="77777777" w:rsidR="009520B9" w:rsidRDefault="00000000">
      <w:pPr>
        <w:pBdr>
          <w:bottom w:val="single" w:sz="6" w:space="4" w:color="2E75B6"/>
        </w:pBdr>
        <w:spacing w:before="320" w:after="120"/>
      </w:pPr>
      <w:r>
        <w:rPr>
          <w:b/>
          <w:bCs/>
          <w:color w:val="1B3A6B"/>
          <w:sz w:val="28"/>
          <w:szCs w:val="28"/>
        </w:rPr>
        <w:t>1. Purpose and Scope</w:t>
      </w:r>
    </w:p>
    <w:p w14:paraId="49E7A49C" w14:textId="77777777" w:rsidR="009520B9" w:rsidRDefault="00000000">
      <w:pPr>
        <w:spacing w:before="60" w:after="100"/>
      </w:pPr>
      <w:r>
        <w:t>This policy sets out the principles and process governing the recruitment and selection of all staff, tutors, contractors, and volunteers at TLSPH LTD (referred to as "TLSPH"). It applies to all recruitment activity, whether for permanent, fixed-term, part-time, or freelance roles.</w:t>
      </w:r>
    </w:p>
    <w:p w14:paraId="56A2DBEC" w14:textId="77777777" w:rsidR="009520B9" w:rsidRDefault="00000000">
      <w:pPr>
        <w:spacing w:before="60" w:after="100"/>
      </w:pPr>
      <w:r>
        <w:t>This policy should be read alongside the TLSPH Safeguarding Policy (TLSPH-POL-003), Equality, Diversity &amp; Inclusion Policy (TLSPH-POL-005), and Data Protection Policy (TLSPH-POL-014).</w:t>
      </w:r>
    </w:p>
    <w:p w14:paraId="40DBD21D" w14:textId="77777777" w:rsidR="009520B9" w:rsidRDefault="009520B9">
      <w:pPr>
        <w:spacing w:after="80"/>
      </w:pPr>
    </w:p>
    <w:p w14:paraId="4C187328" w14:textId="77777777" w:rsidR="009520B9" w:rsidRDefault="00000000">
      <w:pPr>
        <w:pBdr>
          <w:bottom w:val="single" w:sz="6" w:space="4" w:color="2E75B6"/>
        </w:pBdr>
        <w:spacing w:before="320" w:after="120"/>
      </w:pPr>
      <w:r>
        <w:rPr>
          <w:b/>
          <w:bCs/>
          <w:color w:val="1B3A6B"/>
          <w:sz w:val="28"/>
          <w:szCs w:val="28"/>
        </w:rPr>
        <w:lastRenderedPageBreak/>
        <w:t>2. Equal Opportunities in Recruitment</w:t>
      </w:r>
    </w:p>
    <w:p w14:paraId="6106B074" w14:textId="77777777" w:rsidR="009520B9" w:rsidRDefault="00000000">
      <w:pPr>
        <w:spacing w:before="60" w:after="100"/>
      </w:pPr>
      <w:r>
        <w:t>TLSPH is committed to equal opportunities in all recruitment and selection decisions, in accordance with the Equality Act 2010. Recruitment decisions will be based solely on merit and the ability to fulfil the requirements of the role. TLSPH will not discriminate — directly or indirectly — on the basis of any protected characteristic, including age, disability, gender reassignment, marriage and civil partnership, pregnancy and maternity, race, religion or belief, sex, or sexual orientation.</w:t>
      </w:r>
    </w:p>
    <w:p w14:paraId="58AC33B2" w14:textId="77777777" w:rsidR="009520B9" w:rsidRDefault="00000000">
      <w:pPr>
        <w:spacing w:before="60" w:after="100"/>
      </w:pPr>
      <w:r>
        <w:t>All recruitment documentation, including job descriptions, person specifications, and advertisements, will be reviewed to ensure they do not contain any criteria that could constitute unlawful indirect discrimination.</w:t>
      </w:r>
    </w:p>
    <w:p w14:paraId="61482088" w14:textId="77777777" w:rsidR="009520B9" w:rsidRDefault="009520B9">
      <w:pPr>
        <w:spacing w:after="80"/>
      </w:pPr>
    </w:p>
    <w:p w14:paraId="2714FEB0" w14:textId="77777777" w:rsidR="009520B9" w:rsidRDefault="00000000">
      <w:pPr>
        <w:pBdr>
          <w:bottom w:val="single" w:sz="6" w:space="4" w:color="2E75B6"/>
        </w:pBdr>
        <w:spacing w:before="320" w:after="120"/>
      </w:pPr>
      <w:r>
        <w:rPr>
          <w:b/>
          <w:bCs/>
          <w:color w:val="1B3A6B"/>
          <w:sz w:val="28"/>
          <w:szCs w:val="28"/>
        </w:rPr>
        <w:t>3. Safer Recruitment</w:t>
      </w:r>
    </w:p>
    <w:p w14:paraId="6B7B7463" w14:textId="77777777" w:rsidR="009520B9" w:rsidRDefault="00000000">
      <w:pPr>
        <w:spacing w:before="60" w:after="100"/>
      </w:pPr>
      <w:r>
        <w:t>As an education provider working with students who may include children and vulnerable adults, TLSPH applies safer recruitment principles to all appointments. This is consistent with the guidance set out in Keeping Children Safe in Education (KCSIE) 2023 and the Safeguarding Vulnerable Groups Act 2006. Safer recruitment measures include:</w:t>
      </w:r>
    </w:p>
    <w:p w14:paraId="7A2CDA9E" w14:textId="77777777" w:rsidR="009520B9" w:rsidRDefault="00000000">
      <w:pPr>
        <w:pStyle w:val="ListParagraph"/>
        <w:numPr>
          <w:ilvl w:val="0"/>
          <w:numId w:val="2"/>
        </w:numPr>
        <w:spacing w:before="40" w:after="40"/>
      </w:pPr>
      <w:r>
        <w:t>Ensuring all job advertisements and role specifications make clear that TLSPH is committed to safeguarding</w:t>
      </w:r>
    </w:p>
    <w:p w14:paraId="25CBEBE4" w14:textId="77777777" w:rsidR="009520B9" w:rsidRDefault="00000000">
      <w:pPr>
        <w:pStyle w:val="ListParagraph"/>
        <w:numPr>
          <w:ilvl w:val="0"/>
          <w:numId w:val="2"/>
        </w:numPr>
        <w:spacing w:before="40" w:after="40"/>
      </w:pPr>
      <w:r>
        <w:t>Obtaining and scrutinising a full employment history for all applicants, including explanation of any gaps</w:t>
      </w:r>
    </w:p>
    <w:p w14:paraId="1B25537C" w14:textId="77777777" w:rsidR="009520B9" w:rsidRDefault="00000000">
      <w:pPr>
        <w:pStyle w:val="ListParagraph"/>
        <w:numPr>
          <w:ilvl w:val="0"/>
          <w:numId w:val="2"/>
        </w:numPr>
        <w:spacing w:before="40" w:after="40"/>
      </w:pPr>
      <w:r>
        <w:t>Conducting thorough pre-employment checks as set out in Section 7</w:t>
      </w:r>
    </w:p>
    <w:p w14:paraId="020084BB" w14:textId="77777777" w:rsidR="009520B9" w:rsidRDefault="00000000">
      <w:pPr>
        <w:pStyle w:val="ListParagraph"/>
        <w:numPr>
          <w:ilvl w:val="0"/>
          <w:numId w:val="2"/>
        </w:numPr>
        <w:spacing w:before="40" w:after="40"/>
      </w:pPr>
      <w:r>
        <w:t>Ensuring at least one member of every selection panel has completed safer recruitment training</w:t>
      </w:r>
    </w:p>
    <w:p w14:paraId="68F0B4C0" w14:textId="77777777" w:rsidR="009520B9" w:rsidRDefault="009520B9">
      <w:pPr>
        <w:spacing w:after="80"/>
      </w:pPr>
    </w:p>
    <w:p w14:paraId="75531A24" w14:textId="77777777" w:rsidR="009520B9" w:rsidRDefault="00000000">
      <w:pPr>
        <w:pBdr>
          <w:bottom w:val="single" w:sz="6" w:space="4" w:color="2E75B6"/>
        </w:pBdr>
        <w:spacing w:before="320" w:after="120"/>
      </w:pPr>
      <w:r>
        <w:rPr>
          <w:b/>
          <w:bCs/>
          <w:color w:val="1B3A6B"/>
          <w:sz w:val="28"/>
          <w:szCs w:val="28"/>
        </w:rPr>
        <w:t>4. Vacancy and Job Description</w:t>
      </w:r>
    </w:p>
    <w:p w14:paraId="101ED99B" w14:textId="77777777" w:rsidR="009520B9" w:rsidRDefault="00000000">
      <w:pPr>
        <w:spacing w:before="60" w:after="100"/>
      </w:pPr>
      <w:r>
        <w:t>Before advertising a vacancy, the Senior Leadership Team will confirm:</w:t>
      </w:r>
    </w:p>
    <w:p w14:paraId="0A8ED2F9" w14:textId="77777777" w:rsidR="009520B9" w:rsidRDefault="00000000">
      <w:pPr>
        <w:pStyle w:val="ListParagraph"/>
        <w:numPr>
          <w:ilvl w:val="0"/>
          <w:numId w:val="2"/>
        </w:numPr>
        <w:spacing w:before="40" w:after="40"/>
      </w:pPr>
      <w:r>
        <w:t>The need for the role and whether it is a new or existing position</w:t>
      </w:r>
    </w:p>
    <w:p w14:paraId="24404EC2" w14:textId="77777777" w:rsidR="009520B9" w:rsidRDefault="00000000">
      <w:pPr>
        <w:pStyle w:val="ListParagraph"/>
        <w:numPr>
          <w:ilvl w:val="0"/>
          <w:numId w:val="2"/>
        </w:numPr>
        <w:spacing w:before="40" w:after="40"/>
      </w:pPr>
      <w:r>
        <w:t>A current and accurate job description setting out the key duties and responsibilities</w:t>
      </w:r>
    </w:p>
    <w:p w14:paraId="521A3A13" w14:textId="77777777" w:rsidR="009520B9" w:rsidRDefault="00000000">
      <w:pPr>
        <w:pStyle w:val="ListParagraph"/>
        <w:numPr>
          <w:ilvl w:val="0"/>
          <w:numId w:val="2"/>
        </w:numPr>
        <w:spacing w:before="40" w:after="40"/>
      </w:pPr>
      <w:r>
        <w:t>A person specification setting out the essential and desirable criteria for the role, limited to what is genuinely required</w:t>
      </w:r>
    </w:p>
    <w:p w14:paraId="5332BD53" w14:textId="77777777" w:rsidR="009520B9" w:rsidRDefault="00000000">
      <w:pPr>
        <w:pStyle w:val="ListParagraph"/>
        <w:numPr>
          <w:ilvl w:val="0"/>
          <w:numId w:val="2"/>
        </w:numPr>
        <w:spacing w:before="40" w:after="40"/>
      </w:pPr>
      <w:r>
        <w:t>The terms and conditions of the appointment, including whether the role involves regulated activity with children or vulnerable adults</w:t>
      </w:r>
    </w:p>
    <w:p w14:paraId="5C95EB7F" w14:textId="77777777" w:rsidR="009520B9" w:rsidRDefault="009520B9">
      <w:pPr>
        <w:spacing w:after="80"/>
      </w:pPr>
    </w:p>
    <w:p w14:paraId="7E7858E0" w14:textId="77777777" w:rsidR="009520B9" w:rsidRDefault="00000000">
      <w:pPr>
        <w:pBdr>
          <w:bottom w:val="single" w:sz="6" w:space="4" w:color="2E75B6"/>
        </w:pBdr>
        <w:spacing w:before="320" w:after="120"/>
      </w:pPr>
      <w:r>
        <w:rPr>
          <w:b/>
          <w:bCs/>
          <w:color w:val="1B3A6B"/>
          <w:sz w:val="28"/>
          <w:szCs w:val="28"/>
        </w:rPr>
        <w:t>5. Advertising</w:t>
      </w:r>
    </w:p>
    <w:p w14:paraId="69F67F3C" w14:textId="77777777" w:rsidR="009520B9" w:rsidRDefault="00000000">
      <w:pPr>
        <w:spacing w:before="60" w:after="100"/>
      </w:pPr>
      <w:r>
        <w:t>All vacancies will be advertised in a manner designed to attract the widest possible pool of suitable candidates. Advertisements will:</w:t>
      </w:r>
    </w:p>
    <w:p w14:paraId="307C165C" w14:textId="77777777" w:rsidR="009520B9" w:rsidRDefault="00000000">
      <w:pPr>
        <w:pStyle w:val="ListParagraph"/>
        <w:numPr>
          <w:ilvl w:val="0"/>
          <w:numId w:val="2"/>
        </w:numPr>
        <w:spacing w:before="40" w:after="40"/>
      </w:pPr>
      <w:r>
        <w:t>Be clear, accurate, and non-discriminatory</w:t>
      </w:r>
    </w:p>
    <w:p w14:paraId="2372A10A" w14:textId="77777777" w:rsidR="009520B9" w:rsidRDefault="00000000">
      <w:pPr>
        <w:pStyle w:val="ListParagraph"/>
        <w:numPr>
          <w:ilvl w:val="0"/>
          <w:numId w:val="2"/>
        </w:numPr>
        <w:spacing w:before="40" w:after="40"/>
      </w:pPr>
      <w:r>
        <w:t>Include a statement of TLSPH's commitment to equality and safer recruitment</w:t>
      </w:r>
    </w:p>
    <w:p w14:paraId="7F98B965" w14:textId="77777777" w:rsidR="009520B9" w:rsidRDefault="00000000">
      <w:pPr>
        <w:pStyle w:val="ListParagraph"/>
        <w:numPr>
          <w:ilvl w:val="0"/>
          <w:numId w:val="2"/>
        </w:numPr>
        <w:spacing w:before="40" w:after="40"/>
      </w:pPr>
      <w:r>
        <w:t>Specify clearly whether the role involves regulated activity and is subject to an enhanced DBS check</w:t>
      </w:r>
    </w:p>
    <w:p w14:paraId="210D63CF" w14:textId="77777777" w:rsidR="009520B9" w:rsidRDefault="00000000">
      <w:pPr>
        <w:pStyle w:val="ListParagraph"/>
        <w:numPr>
          <w:ilvl w:val="0"/>
          <w:numId w:val="2"/>
        </w:numPr>
        <w:spacing w:before="40" w:after="40"/>
      </w:pPr>
      <w:r>
        <w:lastRenderedPageBreak/>
        <w:t>Not contain any criteria that could unjustifiably exclude candidates with protected characteristics</w:t>
      </w:r>
    </w:p>
    <w:p w14:paraId="19BAC974" w14:textId="77777777" w:rsidR="009520B9" w:rsidRDefault="009520B9">
      <w:pPr>
        <w:spacing w:after="80"/>
      </w:pPr>
    </w:p>
    <w:p w14:paraId="2DCF2508" w14:textId="77777777" w:rsidR="009520B9" w:rsidRDefault="00000000">
      <w:pPr>
        <w:pBdr>
          <w:bottom w:val="single" w:sz="6" w:space="4" w:color="2E75B6"/>
        </w:pBdr>
        <w:spacing w:before="320" w:after="120"/>
      </w:pPr>
      <w:r>
        <w:rPr>
          <w:b/>
          <w:bCs/>
          <w:color w:val="1B3A6B"/>
          <w:sz w:val="28"/>
          <w:szCs w:val="28"/>
        </w:rPr>
        <w:t>6. Shortlisting and Selection</w:t>
      </w:r>
    </w:p>
    <w:p w14:paraId="7ECC7F17" w14:textId="77777777" w:rsidR="009520B9" w:rsidRDefault="00000000">
      <w:pPr>
        <w:spacing w:before="60" w:after="100"/>
      </w:pPr>
      <w:r>
        <w:t>All applications will be assessed against the published person specification using objective criteria only. Shortlisting decisions will be made by at least two people, documented, and retained in accordance with the Data Retention Policy (TLSPH-POL-007).</w:t>
      </w:r>
    </w:p>
    <w:p w14:paraId="063497BC" w14:textId="77777777" w:rsidR="009520B9" w:rsidRDefault="00000000">
      <w:pPr>
        <w:spacing w:before="60" w:after="100"/>
      </w:pPr>
      <w:r>
        <w:t>Interviews will be conducted using structured, competency-based questions prepared in advance. All candidates will be asked the same core questions. Notes will be taken and retained. Interview panel members will not ask questions that relate to protected characteristics, including questions about family plans, health, or childcare arrangements.</w:t>
      </w:r>
    </w:p>
    <w:p w14:paraId="2AADBCDF" w14:textId="77777777" w:rsidR="009520B9" w:rsidRDefault="009520B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520B9" w14:paraId="7B075724"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EF9F0"/>
            <w:tcMar>
              <w:top w:w="120" w:type="dxa"/>
              <w:left w:w="200" w:type="dxa"/>
              <w:bottom w:w="120" w:type="dxa"/>
              <w:right w:w="200" w:type="dxa"/>
            </w:tcMar>
          </w:tcPr>
          <w:p w14:paraId="66338BFA" w14:textId="77777777" w:rsidR="009520B9" w:rsidRDefault="00000000">
            <w:pPr>
              <w:spacing w:after="60"/>
            </w:pPr>
            <w:r>
              <w:rPr>
                <w:b/>
                <w:bCs/>
                <w:color w:val="D4720A"/>
                <w:sz w:val="21"/>
                <w:szCs w:val="21"/>
              </w:rPr>
              <w:t>Disability and Reasonable Adjustments</w:t>
            </w:r>
          </w:p>
          <w:p w14:paraId="628DF546" w14:textId="77777777" w:rsidR="009520B9" w:rsidRDefault="00000000">
            <w:pPr>
              <w:spacing w:before="10" w:after="10"/>
            </w:pPr>
            <w:r>
              <w:rPr>
                <w:sz w:val="20"/>
                <w:szCs w:val="20"/>
              </w:rPr>
              <w:t>Candidates who declare a disability will be offered a guaranteed interview if they meet the minimum essential criteria for the role, in accordance with the Equality Act 2010. TLSPH will make reasonable adjustments to the selection process for disabled candidates.</w:t>
            </w:r>
          </w:p>
        </w:tc>
      </w:tr>
    </w:tbl>
    <w:p w14:paraId="63A702AD" w14:textId="77777777" w:rsidR="009520B9" w:rsidRDefault="009520B9">
      <w:pPr>
        <w:spacing w:after="80"/>
      </w:pPr>
    </w:p>
    <w:p w14:paraId="191E97C4" w14:textId="77777777" w:rsidR="009520B9" w:rsidRDefault="00000000">
      <w:pPr>
        <w:pBdr>
          <w:bottom w:val="single" w:sz="6" w:space="4" w:color="2E75B6"/>
        </w:pBdr>
        <w:spacing w:before="320" w:after="120"/>
      </w:pPr>
      <w:r>
        <w:rPr>
          <w:b/>
          <w:bCs/>
          <w:color w:val="1B3A6B"/>
          <w:sz w:val="28"/>
          <w:szCs w:val="28"/>
        </w:rPr>
        <w:t>7. Pre-Employment Checks</w:t>
      </w:r>
    </w:p>
    <w:p w14:paraId="45B109C7" w14:textId="77777777" w:rsidR="009520B9" w:rsidRDefault="00000000">
      <w:pPr>
        <w:spacing w:before="60" w:after="100"/>
      </w:pPr>
      <w:r>
        <w:t>All offers of appointment are conditional upon satisfactory completion of the following pre-employment checks. No individual will commence work in a student-facing or regulated activity role until all required checks have been completed:</w:t>
      </w:r>
    </w:p>
    <w:p w14:paraId="33D0ED63" w14:textId="77777777" w:rsidR="009520B9" w:rsidRDefault="00000000">
      <w:pPr>
        <w:pStyle w:val="ListParagraph"/>
        <w:numPr>
          <w:ilvl w:val="0"/>
          <w:numId w:val="2"/>
        </w:numPr>
        <w:spacing w:before="40" w:after="40"/>
      </w:pPr>
      <w:r>
        <w:t>Right to work verification — all appointees must provide evidence of their right to work in the UK, in accordance with the Asylum and Immigration Act 1996 and the Immigration, Asylum and Nationality Act 2006</w:t>
      </w:r>
    </w:p>
    <w:p w14:paraId="712FBD7D" w14:textId="77777777" w:rsidR="009520B9" w:rsidRDefault="00000000">
      <w:pPr>
        <w:pStyle w:val="ListParagraph"/>
        <w:numPr>
          <w:ilvl w:val="0"/>
          <w:numId w:val="2"/>
        </w:numPr>
        <w:spacing w:before="40" w:after="40"/>
      </w:pPr>
      <w:r>
        <w:t>Identity verification — two forms of identity documentation must be provided</w:t>
      </w:r>
    </w:p>
    <w:p w14:paraId="4F854C09" w14:textId="77777777" w:rsidR="009520B9" w:rsidRDefault="00000000">
      <w:pPr>
        <w:pStyle w:val="ListParagraph"/>
        <w:numPr>
          <w:ilvl w:val="0"/>
          <w:numId w:val="2"/>
        </w:numPr>
        <w:spacing w:before="40" w:after="40"/>
      </w:pPr>
      <w:r>
        <w:t>Reference checks — a minimum of two references must be obtained, including from the most recent employer, and must be verified by telephone or email before the appointment is confirmed</w:t>
      </w:r>
    </w:p>
    <w:p w14:paraId="47C2D733" w14:textId="77777777" w:rsidR="009520B9" w:rsidRDefault="00000000">
      <w:pPr>
        <w:pStyle w:val="ListParagraph"/>
        <w:numPr>
          <w:ilvl w:val="0"/>
          <w:numId w:val="2"/>
        </w:numPr>
        <w:spacing w:before="40" w:after="40"/>
      </w:pPr>
      <w:r>
        <w:t>Qualifications verification — original certificates must be seen where academic or professional qualifications are a requirement of the role</w:t>
      </w:r>
    </w:p>
    <w:p w14:paraId="18C6A8E1" w14:textId="77777777" w:rsidR="009520B9" w:rsidRDefault="00000000">
      <w:pPr>
        <w:pStyle w:val="ListParagraph"/>
        <w:numPr>
          <w:ilvl w:val="0"/>
          <w:numId w:val="2"/>
        </w:numPr>
        <w:spacing w:before="40" w:after="40"/>
      </w:pPr>
      <w:r>
        <w:t>Enhanced DBS check — required for all staff, tutors, and contractors who will have regular contact with students, including those who may be under 18 or vulnerable adults, in accordance with the Safeguarding Vulnerable Groups Act 2006 and the Police Act 1997</w:t>
      </w:r>
    </w:p>
    <w:p w14:paraId="1849820D" w14:textId="77777777" w:rsidR="009520B9" w:rsidRDefault="00000000">
      <w:pPr>
        <w:pStyle w:val="ListParagraph"/>
        <w:numPr>
          <w:ilvl w:val="0"/>
          <w:numId w:val="2"/>
        </w:numPr>
        <w:spacing w:before="40" w:after="40"/>
      </w:pPr>
      <w:r>
        <w:t>Barred list check — confirmation that the individual is not on the DBS Children's Barred List or Adults' Barred List where the role involves regulated activity</w:t>
      </w:r>
    </w:p>
    <w:p w14:paraId="570EFD0B" w14:textId="77777777" w:rsidR="009520B9" w:rsidRDefault="00000000">
      <w:pPr>
        <w:pStyle w:val="ListParagraph"/>
        <w:numPr>
          <w:ilvl w:val="0"/>
          <w:numId w:val="2"/>
        </w:numPr>
        <w:spacing w:before="40" w:after="40"/>
      </w:pPr>
      <w:r>
        <w:t>Prohibition check — where applicable, a check that the individual is not prohibited from teaching or working in education</w:t>
      </w:r>
    </w:p>
    <w:p w14:paraId="750E8468" w14:textId="77777777" w:rsidR="009520B9" w:rsidRDefault="009520B9">
      <w:pPr>
        <w:spacing w:after="80"/>
      </w:pPr>
    </w:p>
    <w:p w14:paraId="48FA7BD2" w14:textId="77777777" w:rsidR="009520B9" w:rsidRDefault="00000000">
      <w:pPr>
        <w:spacing w:before="60" w:after="100"/>
      </w:pPr>
      <w:r>
        <w:t>DBS checks will be processed through an appropriate umbrella body. The result of a DBS check will be considered in the context of the role and individual circumstances; a criminal record will not automatically disqualify a candidate, in accordance with the Rehabilitation of Offenders Act 1974. DBS check records are handled in accordance with the DBS Code of Practice and the Data Retention Policy (TLSPH-POL-007).</w:t>
      </w:r>
    </w:p>
    <w:p w14:paraId="4C6D12D0" w14:textId="77777777" w:rsidR="009520B9" w:rsidRDefault="009520B9">
      <w:pPr>
        <w:spacing w:after="80"/>
      </w:pPr>
    </w:p>
    <w:p w14:paraId="0F778224" w14:textId="77777777" w:rsidR="009520B9" w:rsidRDefault="00000000">
      <w:pPr>
        <w:pBdr>
          <w:bottom w:val="single" w:sz="6" w:space="4" w:color="2E75B6"/>
        </w:pBdr>
        <w:spacing w:before="320" w:after="120"/>
      </w:pPr>
      <w:r>
        <w:rPr>
          <w:b/>
          <w:bCs/>
          <w:color w:val="1B3A6B"/>
          <w:sz w:val="28"/>
          <w:szCs w:val="28"/>
        </w:rPr>
        <w:lastRenderedPageBreak/>
        <w:t>8. Overseas Applicants</w:t>
      </w:r>
    </w:p>
    <w:p w14:paraId="76C86AFA" w14:textId="77777777" w:rsidR="009520B9" w:rsidRDefault="00000000">
      <w:pPr>
        <w:spacing w:before="60" w:after="100"/>
      </w:pPr>
      <w:r>
        <w:t>Where an applicant has lived or worked outside the UK, TLSPH will, in addition to a standard enhanced DBS check, obtain an overseas criminal record check or equivalent document from the relevant country, where this is available. TLSPH will have regard to the Home Office guidance on criminal record checks for overseas applicants.</w:t>
      </w:r>
    </w:p>
    <w:p w14:paraId="01BCF91A" w14:textId="77777777" w:rsidR="009520B9" w:rsidRDefault="009520B9">
      <w:pPr>
        <w:spacing w:after="80"/>
      </w:pPr>
    </w:p>
    <w:p w14:paraId="49AD0CB9" w14:textId="77777777" w:rsidR="009520B9" w:rsidRDefault="00000000">
      <w:pPr>
        <w:pBdr>
          <w:bottom w:val="single" w:sz="6" w:space="4" w:color="2E75B6"/>
        </w:pBdr>
        <w:spacing w:before="320" w:after="120"/>
      </w:pPr>
      <w:r>
        <w:rPr>
          <w:b/>
          <w:bCs/>
          <w:color w:val="1B3A6B"/>
          <w:sz w:val="28"/>
          <w:szCs w:val="28"/>
        </w:rPr>
        <w:t>9. Induction</w:t>
      </w:r>
    </w:p>
    <w:p w14:paraId="0ECDEA7B" w14:textId="77777777" w:rsidR="009520B9" w:rsidRDefault="00000000">
      <w:pPr>
        <w:spacing w:before="60" w:after="100"/>
      </w:pPr>
      <w:r>
        <w:t>All new staff and tutors will complete a structured induction programme covering:</w:t>
      </w:r>
    </w:p>
    <w:p w14:paraId="0CA92FED" w14:textId="77777777" w:rsidR="009520B9" w:rsidRDefault="00000000">
      <w:pPr>
        <w:pStyle w:val="ListParagraph"/>
        <w:numPr>
          <w:ilvl w:val="0"/>
          <w:numId w:val="2"/>
        </w:numPr>
        <w:spacing w:before="40" w:after="40"/>
      </w:pPr>
      <w:r>
        <w:t>TLSPH's policies and procedures, including safeguarding, EDI, data protection, and academic integrity</w:t>
      </w:r>
    </w:p>
    <w:p w14:paraId="51A05643" w14:textId="77777777" w:rsidR="009520B9" w:rsidRDefault="00000000">
      <w:pPr>
        <w:pStyle w:val="ListParagraph"/>
        <w:numPr>
          <w:ilvl w:val="0"/>
          <w:numId w:val="2"/>
        </w:numPr>
        <w:spacing w:before="40" w:after="40"/>
      </w:pPr>
      <w:r>
        <w:t>Role-specific training and expectations</w:t>
      </w:r>
    </w:p>
    <w:p w14:paraId="0F1A26E7" w14:textId="77777777" w:rsidR="009520B9" w:rsidRDefault="00000000">
      <w:pPr>
        <w:pStyle w:val="ListParagraph"/>
        <w:numPr>
          <w:ilvl w:val="0"/>
          <w:numId w:val="2"/>
        </w:numPr>
        <w:spacing w:before="40" w:after="40"/>
      </w:pPr>
      <w:r>
        <w:t>Health and safety, including the DSE self-assessment for remote workers</w:t>
      </w:r>
    </w:p>
    <w:p w14:paraId="7953283B" w14:textId="77777777" w:rsidR="009520B9" w:rsidRDefault="00000000">
      <w:pPr>
        <w:pStyle w:val="ListParagraph"/>
        <w:numPr>
          <w:ilvl w:val="0"/>
          <w:numId w:val="2"/>
        </w:numPr>
        <w:spacing w:before="40" w:after="40"/>
      </w:pPr>
      <w:r>
        <w:t>Introduction to the learning platforms and student systems used by TLSPH</w:t>
      </w:r>
    </w:p>
    <w:p w14:paraId="063B681B" w14:textId="77777777" w:rsidR="009520B9" w:rsidRDefault="009520B9">
      <w:pPr>
        <w:spacing w:after="80"/>
      </w:pPr>
    </w:p>
    <w:p w14:paraId="30159346" w14:textId="77777777" w:rsidR="009520B9" w:rsidRDefault="00000000">
      <w:pPr>
        <w:pBdr>
          <w:bottom w:val="single" w:sz="6" w:space="4" w:color="2E75B6"/>
        </w:pBdr>
        <w:spacing w:before="320" w:after="120"/>
      </w:pPr>
      <w:r>
        <w:rPr>
          <w:b/>
          <w:bCs/>
          <w:color w:val="1B3A6B"/>
          <w:sz w:val="28"/>
          <w:szCs w:val="28"/>
        </w:rPr>
        <w:t>10. Probationary Period</w:t>
      </w:r>
    </w:p>
    <w:p w14:paraId="46BFB880" w14:textId="77777777" w:rsidR="009520B9" w:rsidRDefault="00000000">
      <w:pPr>
        <w:spacing w:before="60" w:after="100"/>
      </w:pPr>
      <w:r>
        <w:t>All new employees will be subject to a probationary period as set out in their contract of employment. During this period, performance will be reviewed and any concerns addressed promptly and fairly. The probationary period does not affect statutory employment rights.</w:t>
      </w:r>
    </w:p>
    <w:p w14:paraId="4415D8B2" w14:textId="77777777" w:rsidR="009520B9" w:rsidRDefault="009520B9">
      <w:pPr>
        <w:spacing w:after="80"/>
      </w:pPr>
    </w:p>
    <w:p w14:paraId="15270879" w14:textId="77777777" w:rsidR="009520B9" w:rsidRDefault="00000000">
      <w:pPr>
        <w:pBdr>
          <w:bottom w:val="single" w:sz="6" w:space="4" w:color="2E75B6"/>
        </w:pBdr>
        <w:spacing w:before="320" w:after="120"/>
      </w:pPr>
      <w:r>
        <w:rPr>
          <w:b/>
          <w:bCs/>
          <w:color w:val="1B3A6B"/>
          <w:sz w:val="28"/>
          <w:szCs w:val="28"/>
        </w:rPr>
        <w:t>11. Data Protection in Recruitment</w:t>
      </w:r>
    </w:p>
    <w:p w14:paraId="157CBB56" w14:textId="77777777" w:rsidR="009520B9" w:rsidRDefault="00000000">
      <w:pPr>
        <w:spacing w:before="60" w:after="100"/>
      </w:pPr>
      <w:r>
        <w:t>All personal data collected during the recruitment process is processed in accordance with the UK GDPR, the Data Protection Act 2018, and TLSPH's Data Protection Policy (TLSPH-POL-014). Unsuccessful applicants' data is retained for six months following the recruitment decision, after which it is securely deleted. Successful applicants' recruitment data is transferred to their personnel file and retained for the duration of employment plus six years.</w:t>
      </w:r>
    </w:p>
    <w:p w14:paraId="6D2BA09D" w14:textId="77777777" w:rsidR="009520B9" w:rsidRDefault="009520B9">
      <w:pPr>
        <w:spacing w:after="80"/>
      </w:pPr>
    </w:p>
    <w:p w14:paraId="3DBDA717" w14:textId="77777777" w:rsidR="009520B9" w:rsidRDefault="00000000">
      <w:pPr>
        <w:pBdr>
          <w:bottom w:val="single" w:sz="6" w:space="4" w:color="2E75B6"/>
        </w:pBdr>
        <w:spacing w:before="320" w:after="120"/>
      </w:pPr>
      <w:r>
        <w:rPr>
          <w:b/>
          <w:bCs/>
          <w:color w:val="1B3A6B"/>
          <w:sz w:val="28"/>
          <w:szCs w:val="28"/>
        </w:rPr>
        <w:t>12. Related Policies</w:t>
      </w:r>
    </w:p>
    <w:p w14:paraId="2FBFE12B" w14:textId="77777777" w:rsidR="009520B9" w:rsidRDefault="00000000">
      <w:pPr>
        <w:pStyle w:val="ListParagraph"/>
        <w:numPr>
          <w:ilvl w:val="0"/>
          <w:numId w:val="2"/>
        </w:numPr>
        <w:spacing w:before="40" w:after="40"/>
      </w:pPr>
      <w:r>
        <w:t>Safeguarding Policy (TLSPH-POL-003)</w:t>
      </w:r>
    </w:p>
    <w:p w14:paraId="6F2DF0DB" w14:textId="77777777" w:rsidR="009520B9" w:rsidRDefault="00000000">
      <w:pPr>
        <w:pStyle w:val="ListParagraph"/>
        <w:numPr>
          <w:ilvl w:val="0"/>
          <w:numId w:val="2"/>
        </w:numPr>
        <w:spacing w:before="40" w:after="40"/>
      </w:pPr>
      <w:r>
        <w:t>Equality, Diversity &amp; Inclusion Policy (TLSPH-POL-005)</w:t>
      </w:r>
    </w:p>
    <w:p w14:paraId="507DF147" w14:textId="77777777" w:rsidR="009520B9" w:rsidRDefault="00000000">
      <w:pPr>
        <w:pStyle w:val="ListParagraph"/>
        <w:numPr>
          <w:ilvl w:val="0"/>
          <w:numId w:val="2"/>
        </w:numPr>
        <w:spacing w:before="40" w:after="40"/>
      </w:pPr>
      <w:r>
        <w:t>Data Protection Policy (TLSPH-POL-014)</w:t>
      </w:r>
    </w:p>
    <w:p w14:paraId="0A9E040B" w14:textId="77777777" w:rsidR="009520B9" w:rsidRDefault="00000000">
      <w:pPr>
        <w:pStyle w:val="ListParagraph"/>
        <w:numPr>
          <w:ilvl w:val="0"/>
          <w:numId w:val="2"/>
        </w:numPr>
        <w:spacing w:before="40" w:after="40"/>
      </w:pPr>
      <w:r>
        <w:t>Data Retention Policy (TLSPH-POL-007)</w:t>
      </w:r>
    </w:p>
    <w:p w14:paraId="6B0DC5E7" w14:textId="77777777" w:rsidR="009520B9" w:rsidRDefault="00000000">
      <w:pPr>
        <w:pStyle w:val="ListParagraph"/>
        <w:numPr>
          <w:ilvl w:val="0"/>
          <w:numId w:val="2"/>
        </w:numPr>
        <w:spacing w:before="40" w:after="40"/>
      </w:pPr>
      <w:r>
        <w:t>Staff Code of Conduct (TLSPH-POL-016)</w:t>
      </w:r>
    </w:p>
    <w:p w14:paraId="0A6E19B2" w14:textId="77777777" w:rsidR="009520B9" w:rsidRDefault="009520B9">
      <w:pPr>
        <w:spacing w:after="80"/>
      </w:pPr>
    </w:p>
    <w:p w14:paraId="3CDC6EFF" w14:textId="77777777" w:rsidR="009520B9" w:rsidRDefault="00000000">
      <w:pPr>
        <w:pBdr>
          <w:bottom w:val="single" w:sz="6" w:space="4" w:color="2E75B6"/>
        </w:pBdr>
        <w:spacing w:before="320" w:after="120"/>
      </w:pPr>
      <w:r>
        <w:rPr>
          <w:b/>
          <w:bCs/>
          <w:color w:val="1B3A6B"/>
          <w:sz w:val="28"/>
          <w:szCs w:val="28"/>
        </w:rPr>
        <w:t>13. Contact</w:t>
      </w:r>
    </w:p>
    <w:p w14:paraId="6F9B025A" w14:textId="77777777" w:rsidR="009520B9" w:rsidRDefault="009520B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9520B9" w14:paraId="7A6F50B3"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8B62F1B" w14:textId="77777777" w:rsidR="009520B9" w:rsidRDefault="00000000">
            <w:r>
              <w:rPr>
                <w:b/>
                <w:bCs/>
                <w:color w:val="1B3A6B"/>
                <w:sz w:val="20"/>
                <w:szCs w:val="20"/>
              </w:rPr>
              <w:t>Recruitment Enquiries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039F4C0" w14:textId="77777777" w:rsidR="009520B9" w:rsidRDefault="00000000">
            <w:r>
              <w:rPr>
                <w:sz w:val="20"/>
                <w:szCs w:val="20"/>
              </w:rPr>
              <w:t>info@thelondonschoolofpublichealth.com</w:t>
            </w:r>
          </w:p>
        </w:tc>
      </w:tr>
    </w:tbl>
    <w:p w14:paraId="1B77D30C" w14:textId="77777777" w:rsidR="009520B9" w:rsidRDefault="009520B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9520B9" w14:paraId="3C8E81D9"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EE83C1D" w14:textId="77777777" w:rsidR="009520B9" w:rsidRDefault="00000000">
            <w:r>
              <w:rPr>
                <w:b/>
                <w:bCs/>
                <w:color w:val="1B3A6B"/>
                <w:sz w:val="20"/>
                <w:szCs w:val="20"/>
              </w:rPr>
              <w:t>DBS Update Service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E570CB0" w14:textId="77777777" w:rsidR="009520B9" w:rsidRDefault="00000000">
            <w:r>
              <w:rPr>
                <w:sz w:val="20"/>
                <w:szCs w:val="20"/>
              </w:rPr>
              <w:t>www.gov.uk/dbs-update-service</w:t>
            </w:r>
          </w:p>
        </w:tc>
      </w:tr>
    </w:tbl>
    <w:p w14:paraId="4218275E" w14:textId="77777777" w:rsidR="009520B9" w:rsidRDefault="009520B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9520B9" w14:paraId="503FDF02"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3AB0A34" w14:textId="77777777" w:rsidR="009520B9" w:rsidRDefault="00000000">
            <w:r>
              <w:rPr>
                <w:b/>
                <w:bCs/>
                <w:color w:val="1B3A6B"/>
                <w:sz w:val="20"/>
                <w:szCs w:val="20"/>
              </w:rPr>
              <w:t>ACAS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43B34A8D" w14:textId="77777777" w:rsidR="009520B9" w:rsidRDefault="00000000">
            <w:r>
              <w:rPr>
                <w:sz w:val="20"/>
                <w:szCs w:val="20"/>
              </w:rPr>
              <w:t>www.acas.org.uk  |  0300 123 1100</w:t>
            </w:r>
          </w:p>
        </w:tc>
      </w:tr>
    </w:tbl>
    <w:p w14:paraId="3D5B3D1F" w14:textId="77777777" w:rsidR="009520B9" w:rsidRDefault="009520B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9520B9" w14:paraId="2CBF1881"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044AF97" w14:textId="77777777" w:rsidR="009520B9" w:rsidRDefault="00000000">
            <w:r>
              <w:rPr>
                <w:b/>
                <w:bCs/>
                <w:color w:val="1B3A6B"/>
                <w:sz w:val="20"/>
                <w:szCs w:val="20"/>
              </w:rPr>
              <w:t>Equality Advisory Service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6113230" w14:textId="77777777" w:rsidR="009520B9" w:rsidRDefault="00000000">
            <w:r>
              <w:rPr>
                <w:sz w:val="20"/>
                <w:szCs w:val="20"/>
              </w:rPr>
              <w:t>www.equalityadvisoryservice.com  |  0808 800 0082</w:t>
            </w:r>
          </w:p>
        </w:tc>
      </w:tr>
    </w:tbl>
    <w:p w14:paraId="3A1BE820" w14:textId="77777777" w:rsidR="009520B9" w:rsidRDefault="009520B9">
      <w:pPr>
        <w:spacing w:after="80"/>
      </w:pPr>
    </w:p>
    <w:p w14:paraId="5BA4F69B" w14:textId="77777777" w:rsidR="009520B9" w:rsidRDefault="009520B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520B9" w14:paraId="088BB0DF"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6295701F" w14:textId="77777777" w:rsidR="009520B9" w:rsidRDefault="00000000">
            <w:pPr>
              <w:spacing w:before="40" w:after="40"/>
            </w:pPr>
            <w:r>
              <w:rPr>
                <w:b/>
                <w:bCs/>
                <w:color w:val="1B3A6B"/>
                <w:sz w:val="20"/>
                <w:szCs w:val="20"/>
              </w:rPr>
              <w:t>Policy Review</w:t>
            </w:r>
          </w:p>
          <w:p w14:paraId="19FB50F9" w14:textId="77777777" w:rsidR="009520B9" w:rsidRDefault="00000000">
            <w:pPr>
              <w:spacing w:before="20" w:after="20"/>
            </w:pPr>
            <w:r>
              <w:rPr>
                <w:sz w:val="19"/>
                <w:szCs w:val="19"/>
              </w:rPr>
              <w:t>This policy is reviewed annually by the Senior Leadership Team to ensure compliance with the Equality Act 2010, the Safeguarding Vulnerable Groups Act 2006, KCSIE 2023, UK GDPR, the Rehabilitation of Offenders Act 1974, and ACAS guidance on recruitment. DBS and right to work check requirements are monitored for legislative updates throughout the year.</w:t>
            </w:r>
          </w:p>
          <w:p w14:paraId="595E0FA9" w14:textId="77777777" w:rsidR="009520B9" w:rsidRDefault="00000000">
            <w:pPr>
              <w:spacing w:before="20" w:after="40"/>
            </w:pPr>
            <w:r>
              <w:rPr>
                <w:i/>
                <w:iCs/>
                <w:color w:val="555555"/>
                <w:sz w:val="19"/>
                <w:szCs w:val="19"/>
              </w:rPr>
              <w:t>Last Reviewed: May 2026   |   Next Review Due: May 2027   |   Version: 1.0</w:t>
            </w:r>
          </w:p>
        </w:tc>
      </w:tr>
    </w:tbl>
    <w:p w14:paraId="720D12C1" w14:textId="77777777" w:rsidR="00DC11DF" w:rsidRDefault="00DC11DF"/>
    <w:sectPr w:rsidR="00DC11DF">
      <w:headerReference w:type="default" r:id="rId7"/>
      <w:footerReference w:type="default" r:id="rId8"/>
      <w:pgSz w:w="11906" w:h="16838"/>
      <w:pgMar w:top="10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6C86" w14:textId="77777777" w:rsidR="00DC11DF" w:rsidRDefault="00DC11DF">
      <w:r>
        <w:separator/>
      </w:r>
    </w:p>
  </w:endnote>
  <w:endnote w:type="continuationSeparator" w:id="0">
    <w:p w14:paraId="1E176C9D" w14:textId="77777777" w:rsidR="00DC11DF" w:rsidRDefault="00DC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BFFA" w14:textId="77777777" w:rsidR="009520B9" w:rsidRDefault="00000000">
    <w:pPr>
      <w:pBdr>
        <w:top w:val="single" w:sz="4" w:space="4" w:color="2E75B6"/>
      </w:pBdr>
      <w:spacing w:before="80"/>
    </w:pPr>
    <w:r>
      <w:rPr>
        <w:color w:val="888888"/>
        <w:sz w:val="16"/>
        <w:szCs w:val="16"/>
      </w:rPr>
      <w:t>Recruitment &amp; Selection Policy  |  TLSPH LTD  |  www.thelondonschoolofpublichealth.com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CD57" w14:textId="77777777" w:rsidR="00DC11DF" w:rsidRDefault="00DC11DF">
      <w:r>
        <w:separator/>
      </w:r>
    </w:p>
  </w:footnote>
  <w:footnote w:type="continuationSeparator" w:id="0">
    <w:p w14:paraId="7BB69B9E" w14:textId="77777777" w:rsidR="00DC11DF" w:rsidRDefault="00DC1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73C2" w14:textId="77777777" w:rsidR="009520B9" w:rsidRDefault="00000000">
    <w:pPr>
      <w:pBdr>
        <w:bottom w:val="single" w:sz="6" w:space="6" w:color="2E75B6"/>
      </w:pBdr>
    </w:pPr>
    <w:r>
      <w:rPr>
        <w:noProof/>
      </w:rPr>
      <w:drawing>
        <wp:inline distT="0" distB="0" distL="0" distR="0" wp14:anchorId="326DEDB4" wp14:editId="3E44E590">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762000"/>
                  </a:xfrm>
                  <a:prstGeom prst="rect">
                    <a:avLst/>
                  </a:prstGeom>
                </pic:spPr>
              </pic:pic>
            </a:graphicData>
          </a:graphic>
        </wp:inline>
      </w:drawing>
    </w:r>
    <w:r>
      <w:rPr>
        <w:b/>
        <w:bCs/>
        <w:color w:val="1B3A6B"/>
        <w:sz w:val="26"/>
        <w:szCs w:val="26"/>
      </w:rPr>
      <w:t xml:space="preserve">   The London School of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A21"/>
    <w:multiLevelType w:val="hybridMultilevel"/>
    <w:tmpl w:val="C21EAA5A"/>
    <w:lvl w:ilvl="0" w:tplc="D9A2D69E">
      <w:start w:val="1"/>
      <w:numFmt w:val="bullet"/>
      <w:lvlText w:val="•"/>
      <w:lvlJc w:val="left"/>
      <w:pPr>
        <w:ind w:left="720" w:hanging="360"/>
      </w:pPr>
    </w:lvl>
    <w:lvl w:ilvl="1" w:tplc="1144D4CA">
      <w:numFmt w:val="decimal"/>
      <w:lvlText w:val=""/>
      <w:lvlJc w:val="left"/>
    </w:lvl>
    <w:lvl w:ilvl="2" w:tplc="D0F85F7C">
      <w:numFmt w:val="decimal"/>
      <w:lvlText w:val=""/>
      <w:lvlJc w:val="left"/>
    </w:lvl>
    <w:lvl w:ilvl="3" w:tplc="A2C614B4">
      <w:numFmt w:val="decimal"/>
      <w:lvlText w:val=""/>
      <w:lvlJc w:val="left"/>
    </w:lvl>
    <w:lvl w:ilvl="4" w:tplc="9AC26EF2">
      <w:numFmt w:val="decimal"/>
      <w:lvlText w:val=""/>
      <w:lvlJc w:val="left"/>
    </w:lvl>
    <w:lvl w:ilvl="5" w:tplc="CCA2E080">
      <w:numFmt w:val="decimal"/>
      <w:lvlText w:val=""/>
      <w:lvlJc w:val="left"/>
    </w:lvl>
    <w:lvl w:ilvl="6" w:tplc="47502516">
      <w:numFmt w:val="decimal"/>
      <w:lvlText w:val=""/>
      <w:lvlJc w:val="left"/>
    </w:lvl>
    <w:lvl w:ilvl="7" w:tplc="0524830E">
      <w:numFmt w:val="decimal"/>
      <w:lvlText w:val=""/>
      <w:lvlJc w:val="left"/>
    </w:lvl>
    <w:lvl w:ilvl="8" w:tplc="19E6E7E0">
      <w:numFmt w:val="decimal"/>
      <w:lvlText w:val=""/>
      <w:lvlJc w:val="left"/>
    </w:lvl>
  </w:abstractNum>
  <w:abstractNum w:abstractNumId="1" w15:restartNumberingAfterBreak="0">
    <w:nsid w:val="4FE007C9"/>
    <w:multiLevelType w:val="hybridMultilevel"/>
    <w:tmpl w:val="BC58FEC4"/>
    <w:lvl w:ilvl="0" w:tplc="62D4CC34">
      <w:start w:val="1"/>
      <w:numFmt w:val="decimal"/>
      <w:lvlText w:val="%1."/>
      <w:lvlJc w:val="left"/>
      <w:pPr>
        <w:ind w:left="720" w:hanging="360"/>
      </w:pPr>
    </w:lvl>
    <w:lvl w:ilvl="1" w:tplc="88FE09B0">
      <w:numFmt w:val="decimal"/>
      <w:lvlText w:val=""/>
      <w:lvlJc w:val="left"/>
    </w:lvl>
    <w:lvl w:ilvl="2" w:tplc="29A06E58">
      <w:numFmt w:val="decimal"/>
      <w:lvlText w:val=""/>
      <w:lvlJc w:val="left"/>
    </w:lvl>
    <w:lvl w:ilvl="3" w:tplc="B7D4F266">
      <w:numFmt w:val="decimal"/>
      <w:lvlText w:val=""/>
      <w:lvlJc w:val="left"/>
    </w:lvl>
    <w:lvl w:ilvl="4" w:tplc="BF9E82AC">
      <w:numFmt w:val="decimal"/>
      <w:lvlText w:val=""/>
      <w:lvlJc w:val="left"/>
    </w:lvl>
    <w:lvl w:ilvl="5" w:tplc="6052B10E">
      <w:numFmt w:val="decimal"/>
      <w:lvlText w:val=""/>
      <w:lvlJc w:val="left"/>
    </w:lvl>
    <w:lvl w:ilvl="6" w:tplc="F4060EA6">
      <w:numFmt w:val="decimal"/>
      <w:lvlText w:val=""/>
      <w:lvlJc w:val="left"/>
    </w:lvl>
    <w:lvl w:ilvl="7" w:tplc="6E58B5E2">
      <w:numFmt w:val="decimal"/>
      <w:lvlText w:val=""/>
      <w:lvlJc w:val="left"/>
    </w:lvl>
    <w:lvl w:ilvl="8" w:tplc="30A49108">
      <w:numFmt w:val="decimal"/>
      <w:lvlText w:val=""/>
      <w:lvlJc w:val="left"/>
    </w:lvl>
  </w:abstractNum>
  <w:abstractNum w:abstractNumId="2" w15:restartNumberingAfterBreak="0">
    <w:nsid w:val="79ED57D8"/>
    <w:multiLevelType w:val="hybridMultilevel"/>
    <w:tmpl w:val="66C2A170"/>
    <w:lvl w:ilvl="0" w:tplc="E0BAD408">
      <w:start w:val="1"/>
      <w:numFmt w:val="bullet"/>
      <w:lvlText w:val="●"/>
      <w:lvlJc w:val="left"/>
      <w:pPr>
        <w:ind w:left="720" w:hanging="360"/>
      </w:pPr>
    </w:lvl>
    <w:lvl w:ilvl="1" w:tplc="C3BEE364">
      <w:start w:val="1"/>
      <w:numFmt w:val="bullet"/>
      <w:lvlText w:val="○"/>
      <w:lvlJc w:val="left"/>
      <w:pPr>
        <w:ind w:left="1440" w:hanging="360"/>
      </w:pPr>
    </w:lvl>
    <w:lvl w:ilvl="2" w:tplc="1DA23B04">
      <w:start w:val="1"/>
      <w:numFmt w:val="bullet"/>
      <w:lvlText w:val="■"/>
      <w:lvlJc w:val="left"/>
      <w:pPr>
        <w:ind w:left="2160" w:hanging="360"/>
      </w:pPr>
    </w:lvl>
    <w:lvl w:ilvl="3" w:tplc="756ACCE4">
      <w:start w:val="1"/>
      <w:numFmt w:val="bullet"/>
      <w:lvlText w:val="●"/>
      <w:lvlJc w:val="left"/>
      <w:pPr>
        <w:ind w:left="2880" w:hanging="360"/>
      </w:pPr>
    </w:lvl>
    <w:lvl w:ilvl="4" w:tplc="E7F2ECF6">
      <w:start w:val="1"/>
      <w:numFmt w:val="bullet"/>
      <w:lvlText w:val="○"/>
      <w:lvlJc w:val="left"/>
      <w:pPr>
        <w:ind w:left="3600" w:hanging="360"/>
      </w:pPr>
    </w:lvl>
    <w:lvl w:ilvl="5" w:tplc="4238CD00">
      <w:start w:val="1"/>
      <w:numFmt w:val="bullet"/>
      <w:lvlText w:val="■"/>
      <w:lvlJc w:val="left"/>
      <w:pPr>
        <w:ind w:left="4320" w:hanging="360"/>
      </w:pPr>
    </w:lvl>
    <w:lvl w:ilvl="6" w:tplc="08FC23AE">
      <w:start w:val="1"/>
      <w:numFmt w:val="bullet"/>
      <w:lvlText w:val="●"/>
      <w:lvlJc w:val="left"/>
      <w:pPr>
        <w:ind w:left="5040" w:hanging="360"/>
      </w:pPr>
    </w:lvl>
    <w:lvl w:ilvl="7" w:tplc="476082CC">
      <w:start w:val="1"/>
      <w:numFmt w:val="bullet"/>
      <w:lvlText w:val="●"/>
      <w:lvlJc w:val="left"/>
      <w:pPr>
        <w:ind w:left="5760" w:hanging="360"/>
      </w:pPr>
    </w:lvl>
    <w:lvl w:ilvl="8" w:tplc="6CEC3C10">
      <w:start w:val="1"/>
      <w:numFmt w:val="bullet"/>
      <w:lvlText w:val="●"/>
      <w:lvlJc w:val="left"/>
      <w:pPr>
        <w:ind w:left="6480" w:hanging="360"/>
      </w:pPr>
    </w:lvl>
  </w:abstractNum>
  <w:num w:numId="1" w16cid:durableId="2007636358">
    <w:abstractNumId w:val="2"/>
    <w:lvlOverride w:ilvl="0">
      <w:startOverride w:val="1"/>
    </w:lvlOverride>
  </w:num>
  <w:num w:numId="2" w16cid:durableId="1508790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0B9"/>
    <w:rsid w:val="0015458C"/>
    <w:rsid w:val="009520B9"/>
    <w:rsid w:val="00DC1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E3C5EE"/>
  <w15:docId w15:val="{8382D012-F72F-034D-B6F4-CD93FF71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1385</Words>
  <Characters>7897</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Dilmohamed</cp:lastModifiedBy>
  <cp:revision>2</cp:revision>
  <dcterms:created xsi:type="dcterms:W3CDTF">2026-05-11T17:24:00Z</dcterms:created>
  <dcterms:modified xsi:type="dcterms:W3CDTF">2026-05-11T17:24:00Z</dcterms:modified>
</cp:coreProperties>
</file>