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40" w:before="80"/>
      </w:pPr>
      <w:r>
        <w:rPr>
          <w:rFonts w:ascii="Arial" w:cs="Arial" w:eastAsia="Arial" w:hAnsi="Arial"/>
          <w:b/>
          <w:bCs/>
          <w:color w:val="1B3A6B"/>
          <w:sz w:val="52"/>
          <w:szCs w:val="52"/>
        </w:rPr>
        <w:t xml:space="preserve">Safeguarding Policy</w:t>
      </w:r>
    </w:p>
    <w:p>
      <w:pPr>
        <w:pBdr>
          <w:bottom w:val="single" w:color="2E75B6" w:sz="8" w:space="4"/>
        </w:pBdr>
        <w:spacing w:after="200" w:before="0"/>
      </w:pPr>
      <w:r>
        <w:rPr>
          <w:rFonts w:ascii="Arial" w:cs="Arial" w:eastAsia="Arial" w:hAnsi="Arial"/>
          <w:color w:val="555555"/>
          <w:sz w:val="22"/>
          <w:szCs w:val="22"/>
        </w:rPr>
        <w:t xml:space="preserve">TLSPH LTD  |  The London School of Public Health</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Reference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TLSPH-POL-003</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1.0</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Date Issued</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September 2025</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Next Review Date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September 2026</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Owner</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Senior Leadership Team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Designated Safeguarding Lead</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Designated Safeguarding Lead (role-holder to be confirmed internally)</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Applies To</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All staff, tutors, contractors, volunteers and students of TLSPH LTD</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Regulatory Framework</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Children Act 1989 &amp; 2004 | Safeguarding Vulnerable Groups Act 2006 | Care Act 2014 | Keeping Children Safe in Education (KCSIE) 2023 | Working Together to Safeguard Children 2023</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392B" w:sz="6"/>
              <w:left w:val="single" w:color="C0392B" w:sz="6"/>
              <w:bottom w:val="single" w:color="C0392B" w:sz="6"/>
              <w:right w:val="single" w:color="C0392B" w:sz="6"/>
            </w:tcBorders>
            <w:shd w:fill="FDEDEC" w:val="clear"/>
            <w:tcMar>
              <w:top w:type="dxa" w:w="120"/>
              <w:left w:type="dxa" w:w="200"/>
              <w:bottom w:type="dxa" w:w="120"/>
              <w:right w:type="dxa" w:w="200"/>
            </w:tcMar>
          </w:tcPr>
          <w:p>
            <w:pPr>
              <w:spacing w:after="60" w:before="0"/>
            </w:pPr>
            <w:r>
              <w:rPr>
                <w:rFonts w:ascii="Arial" w:cs="Arial" w:eastAsia="Arial" w:hAnsi="Arial"/>
                <w:b/>
                <w:bCs/>
                <w:color w:val="C0392B"/>
                <w:sz w:val="22"/>
                <w:szCs w:val="22"/>
              </w:rPr>
              <w:t xml:space="preserve">IMPORTANT — Safeguarding Concerns</w:t>
            </w:r>
          </w:p>
          <w:p>
            <w:pPr>
              <w:spacing w:after="20" w:before="20"/>
            </w:pPr>
            <w:r>
              <w:rPr>
                <w:rFonts w:ascii="Arial" w:cs="Arial" w:eastAsia="Arial" w:hAnsi="Arial"/>
                <w:color w:val="5C0000"/>
                <w:sz w:val="20"/>
                <w:szCs w:val="20"/>
              </w:rPr>
              <w:t xml:space="preserve">If you believe a child or vulnerable adult is in immediate danger, call 999 immediately.</w:t>
            </w:r>
          </w:p>
          <w:p>
            <w:pPr>
              <w:spacing w:after="20" w:before="20"/>
            </w:pPr>
            <w:r>
              <w:rPr>
                <w:rFonts w:ascii="Arial" w:cs="Arial" w:eastAsia="Arial" w:hAnsi="Arial"/>
                <w:color w:val="5C0000"/>
                <w:sz w:val="20"/>
                <w:szCs w:val="20"/>
              </w:rPr>
              <w:t xml:space="preserve">To report a safeguarding concern to TLSPH, contact the Designated Safeguarding Lead (DSL) by email at: safeguarding@thelondonschoolofpublichealth.com</w:t>
            </w:r>
          </w:p>
          <w:p>
            <w:pPr>
              <w:spacing w:after="20" w:before="20"/>
            </w:pPr>
            <w:r>
              <w:rPr>
                <w:rFonts w:ascii="Arial" w:cs="Arial" w:eastAsia="Arial" w:hAnsi="Arial"/>
                <w:color w:val="5C0000"/>
                <w:sz w:val="20"/>
                <w:szCs w:val="20"/>
              </w:rPr>
              <w:t xml:space="preserve">Do not investigate concerns yourself. Do not promise confidentiality. Report promptly.</w:t>
            </w:r>
          </w:p>
        </w:tc>
      </w:tr>
    </w:tbl>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 Introduction and Commitment</w:t>
      </w:r>
    </w:p>
    <w:p>
      <w:pPr>
        <w:spacing w:after="100" w:before="60"/>
      </w:pPr>
      <w:r>
        <w:rPr>
          <w:rFonts w:ascii="Arial" w:cs="Arial" w:eastAsia="Arial" w:hAnsi="Arial"/>
          <w:sz w:val="22"/>
          <w:szCs w:val="22"/>
        </w:rPr>
        <w:t xml:space="preserve">TLSPH LTD (trading as The London School of Public Health, referred to as "TLSPH") is committed to creating and maintaining a safe, inclusive, and respectful learning environment for all. We recognise our duty of care to safeguard and promote the wellbeing of all children, young people, and vulnerable adults who come into contact with our organisation.</w:t>
      </w:r>
    </w:p>
    <w:p>
      <w:pPr>
        <w:spacing w:after="100" w:before="60"/>
      </w:pPr>
      <w:r>
        <w:rPr>
          <w:rFonts w:ascii="Arial" w:cs="Arial" w:eastAsia="Arial" w:hAnsi="Arial"/>
          <w:sz w:val="22"/>
          <w:szCs w:val="22"/>
        </w:rPr>
        <w:t xml:space="preserve">Although the majority of our students are adults, TLSPH acknowledges that:</w:t>
      </w:r>
    </w:p>
    <w:p>
      <w:pPr>
        <w:pStyle w:val="ListParagraph"/>
        <w:numPr>
          <w:ilvl w:val="0"/>
          <w:numId w:val="2"/>
        </w:numPr>
        <w:spacing w:after="40" w:before="40"/>
      </w:pPr>
      <w:r>
        <w:rPr>
          <w:rFonts w:ascii="Arial" w:cs="Arial" w:eastAsia="Arial" w:hAnsi="Arial"/>
          <w:sz w:val="22"/>
          <w:szCs w:val="22"/>
        </w:rPr>
        <w:t xml:space="preserve">Some students may be under 18 years of age (particularly on Level 3 programmes such as the Health &amp; Social Care Extended Diploma)</w:t>
      </w:r>
    </w:p>
    <w:p>
      <w:pPr>
        <w:pStyle w:val="ListParagraph"/>
        <w:numPr>
          <w:ilvl w:val="0"/>
          <w:numId w:val="2"/>
        </w:numPr>
        <w:spacing w:after="40" w:before="40"/>
      </w:pPr>
      <w:r>
        <w:rPr>
          <w:rFonts w:ascii="Arial" w:cs="Arial" w:eastAsia="Arial" w:hAnsi="Arial"/>
          <w:sz w:val="22"/>
          <w:szCs w:val="22"/>
        </w:rPr>
        <w:t xml:space="preserve">Some adult students may be vulnerable adults as defined under the Care Act 2014</w:t>
      </w:r>
    </w:p>
    <w:p>
      <w:pPr>
        <w:pStyle w:val="ListParagraph"/>
        <w:numPr>
          <w:ilvl w:val="0"/>
          <w:numId w:val="2"/>
        </w:numPr>
        <w:spacing w:after="40" w:before="40"/>
      </w:pPr>
      <w:r>
        <w:rPr>
          <w:rFonts w:ascii="Arial" w:cs="Arial" w:eastAsia="Arial" w:hAnsi="Arial"/>
          <w:sz w:val="22"/>
          <w:szCs w:val="22"/>
        </w:rPr>
        <w:t xml:space="preserve">Online learning environments carry specific safeguarding risks that must be proactively managed</w:t>
      </w:r>
    </w:p>
    <w:p>
      <w:pPr>
        <w:spacing w:after="80" w:before="0"/>
      </w:pPr>
      <w:r>
        <w:t xml:space="preserve"/>
      </w:r>
    </w:p>
    <w:p>
      <w:pPr>
        <w:spacing w:after="100" w:before="60"/>
      </w:pPr>
      <w:r>
        <w:rPr>
          <w:rFonts w:ascii="Arial" w:cs="Arial" w:eastAsia="Arial" w:hAnsi="Arial"/>
          <w:sz w:val="22"/>
          <w:szCs w:val="22"/>
        </w:rPr>
        <w:t xml:space="preserve">This policy applies to all staff, tutors, contractors, volunteers, and any individual acting on behalf of TLSPH. It sets out our safeguarding framework, responsibilities, reporting procedures, and commitment to safer recruitment.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2. Scope</w:t>
      </w:r>
    </w:p>
    <w:p>
      <w:pPr>
        <w:spacing w:after="100" w:before="60"/>
      </w:pPr>
      <w:r>
        <w:rPr>
          <w:rFonts w:ascii="Arial" w:cs="Arial" w:eastAsia="Arial" w:hAnsi="Arial"/>
          <w:sz w:val="22"/>
          <w:szCs w:val="22"/>
        </w:rPr>
        <w:t xml:space="preserve">This policy covers:</w:t>
      </w:r>
    </w:p>
    <w:p>
      <w:pPr>
        <w:pStyle w:val="ListParagraph"/>
        <w:numPr>
          <w:ilvl w:val="0"/>
          <w:numId w:val="2"/>
        </w:numPr>
        <w:spacing w:after="40" w:before="40"/>
      </w:pPr>
      <w:r>
        <w:rPr>
          <w:rFonts w:ascii="Arial" w:cs="Arial" w:eastAsia="Arial" w:hAnsi="Arial"/>
          <w:sz w:val="22"/>
          <w:szCs w:val="22"/>
        </w:rPr>
        <w:t xml:space="preserve">All students enrolled with TLSPH, including those under the age of 18</w:t>
      </w:r>
    </w:p>
    <w:p>
      <w:pPr>
        <w:pStyle w:val="ListParagraph"/>
        <w:numPr>
          <w:ilvl w:val="0"/>
          <w:numId w:val="2"/>
        </w:numPr>
        <w:spacing w:after="40" w:before="40"/>
      </w:pPr>
      <w:r>
        <w:rPr>
          <w:rFonts w:ascii="Arial" w:cs="Arial" w:eastAsia="Arial" w:hAnsi="Arial"/>
          <w:sz w:val="22"/>
          <w:szCs w:val="22"/>
        </w:rPr>
        <w:t xml:space="preserve">All adults who may be vulnerable by reason of disability, mental health, age, or other circumstances</w:t>
      </w:r>
    </w:p>
    <w:p>
      <w:pPr>
        <w:pStyle w:val="ListParagraph"/>
        <w:numPr>
          <w:ilvl w:val="0"/>
          <w:numId w:val="2"/>
        </w:numPr>
        <w:spacing w:after="40" w:before="40"/>
      </w:pPr>
      <w:r>
        <w:rPr>
          <w:rFonts w:ascii="Arial" w:cs="Arial" w:eastAsia="Arial" w:hAnsi="Arial"/>
          <w:sz w:val="22"/>
          <w:szCs w:val="22"/>
        </w:rPr>
        <w:t xml:space="preserve">All staff, tutors, contractors, and volunteers engaged by TLSPH</w:t>
      </w:r>
    </w:p>
    <w:p>
      <w:pPr>
        <w:pStyle w:val="ListParagraph"/>
        <w:numPr>
          <w:ilvl w:val="0"/>
          <w:numId w:val="2"/>
        </w:numPr>
        <w:spacing w:after="40" w:before="40"/>
      </w:pPr>
      <w:r>
        <w:rPr>
          <w:rFonts w:ascii="Arial" w:cs="Arial" w:eastAsia="Arial" w:hAnsi="Arial"/>
          <w:sz w:val="22"/>
          <w:szCs w:val="22"/>
        </w:rPr>
        <w:t xml:space="preserve">All interactions conducted via TLSPH platforms, including online learning environments, email, video calls, and social media channels</w:t>
      </w:r>
    </w:p>
    <w:p>
      <w:pPr>
        <w:spacing w:after="80" w:before="0"/>
      </w:pPr>
      <w:r>
        <w:t xml:space="preserve"/>
      </w:r>
    </w:p>
    <w:p>
      <w:pPr>
        <w:spacing w:after="100" w:before="60"/>
      </w:pPr>
      <w:r>
        <w:rPr>
          <w:rFonts w:ascii="Arial" w:cs="Arial" w:eastAsia="Arial" w:hAnsi="Arial"/>
          <w:sz w:val="22"/>
          <w:szCs w:val="22"/>
        </w:rPr>
        <w:t xml:space="preserve">This policy should be read alongside the TLSPH Equality, Diversity &amp; Inclusion Policy, Student Wellbeing &amp; Support Policy, and the Online Safety and Acceptable Use guidelines.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3. Definitions</w:t>
      </w:r>
    </w:p>
    <w:p>
      <w:pPr>
        <w:spacing w:after="80" w:before="220"/>
      </w:pPr>
      <w:r>
        <w:rPr>
          <w:rFonts w:ascii="Arial" w:cs="Arial" w:eastAsia="Arial" w:hAnsi="Arial"/>
          <w:b/>
          <w:bCs/>
          <w:color w:val="2E75B6"/>
          <w:sz w:val="24"/>
          <w:szCs w:val="24"/>
        </w:rPr>
        <w:t xml:space="preserve">3.1 Safeguarding</w:t>
      </w:r>
    </w:p>
    <w:p>
      <w:pPr>
        <w:spacing w:after="100" w:before="60"/>
      </w:pPr>
      <w:r>
        <w:rPr>
          <w:rFonts w:ascii="Arial" w:cs="Arial" w:eastAsia="Arial" w:hAnsi="Arial"/>
          <w:sz w:val="22"/>
          <w:szCs w:val="22"/>
        </w:rPr>
        <w:t xml:space="preserve">Safeguarding is the action taken to promote the welfare of children and vulnerable adults and protect them from harm. It includes protecting people from abuse and maltreatment, preventing harm to health or development, and ensuring people grow up or live in circumstances consistent with the provision of safe and effective care.</w:t>
      </w:r>
    </w:p>
    <w:p>
      <w:pPr>
        <w:spacing w:after="80" w:before="220"/>
      </w:pPr>
      <w:r>
        <w:rPr>
          <w:rFonts w:ascii="Arial" w:cs="Arial" w:eastAsia="Arial" w:hAnsi="Arial"/>
          <w:b/>
          <w:bCs/>
          <w:color w:val="2E75B6"/>
          <w:sz w:val="24"/>
          <w:szCs w:val="24"/>
        </w:rPr>
        <w:t xml:space="preserve">3.2 A Child</w:t>
      </w:r>
    </w:p>
    <w:p>
      <w:pPr>
        <w:spacing w:after="100" w:before="60"/>
      </w:pPr>
      <w:r>
        <w:rPr>
          <w:rFonts w:ascii="Arial" w:cs="Arial" w:eastAsia="Arial" w:hAnsi="Arial"/>
          <w:sz w:val="22"/>
          <w:szCs w:val="22"/>
        </w:rPr>
        <w:t xml:space="preserve">For the purposes of this policy, a child is any person under the age of 18, in accordance with the Children Act 1989.</w:t>
      </w:r>
    </w:p>
    <w:p>
      <w:pPr>
        <w:spacing w:after="80" w:before="220"/>
      </w:pPr>
      <w:r>
        <w:rPr>
          <w:rFonts w:ascii="Arial" w:cs="Arial" w:eastAsia="Arial" w:hAnsi="Arial"/>
          <w:b/>
          <w:bCs/>
          <w:color w:val="2E75B6"/>
          <w:sz w:val="24"/>
          <w:szCs w:val="24"/>
        </w:rPr>
        <w:t xml:space="preserve">3.3 A Vulnerable Adult</w:t>
      </w:r>
    </w:p>
    <w:p>
      <w:pPr>
        <w:spacing w:after="100" w:before="60"/>
      </w:pPr>
      <w:r>
        <w:rPr>
          <w:rFonts w:ascii="Arial" w:cs="Arial" w:eastAsia="Arial" w:hAnsi="Arial"/>
          <w:sz w:val="22"/>
          <w:szCs w:val="22"/>
        </w:rPr>
        <w:t xml:space="preserve">A vulnerable adult is any person aged 18 or over who has needs for care and support, is experiencing, or is at risk of, abuse or neglect, and as a result of those care and support needs is unable to protect themselves against abuse or neglect (Care Act 2014).</w:t>
      </w:r>
    </w:p>
    <w:p>
      <w:pPr>
        <w:spacing w:after="80" w:before="220"/>
      </w:pPr>
      <w:r>
        <w:rPr>
          <w:rFonts w:ascii="Arial" w:cs="Arial" w:eastAsia="Arial" w:hAnsi="Arial"/>
          <w:b/>
          <w:bCs/>
          <w:color w:val="2E75B6"/>
          <w:sz w:val="24"/>
          <w:szCs w:val="24"/>
        </w:rPr>
        <w:t xml:space="preserve">3.4 Abuse</w:t>
      </w:r>
    </w:p>
    <w:p>
      <w:pPr>
        <w:spacing w:after="100" w:before="60"/>
      </w:pPr>
      <w:r>
        <w:rPr>
          <w:rFonts w:ascii="Arial" w:cs="Arial" w:eastAsia="Arial" w:hAnsi="Arial"/>
          <w:sz w:val="22"/>
          <w:szCs w:val="22"/>
        </w:rPr>
        <w:t xml:space="preserve">Abuse can take many forms. TLSPH recognises the following categories:</w:t>
      </w:r>
    </w:p>
    <w:p>
      <w:pPr>
        <w:pStyle w:val="ListParagraph"/>
        <w:numPr>
          <w:ilvl w:val="0"/>
          <w:numId w:val="2"/>
        </w:numPr>
        <w:spacing w:after="40" w:before="40"/>
      </w:pPr>
      <w:r>
        <w:rPr>
          <w:rFonts w:ascii="Arial" w:cs="Arial" w:eastAsia="Arial" w:hAnsi="Arial"/>
          <w:sz w:val="22"/>
          <w:szCs w:val="22"/>
        </w:rPr>
        <w:t xml:space="preserve">Physical abuse — causing physical harm to a child or vulnerable adult</w:t>
      </w:r>
    </w:p>
    <w:p>
      <w:pPr>
        <w:pStyle w:val="ListParagraph"/>
        <w:numPr>
          <w:ilvl w:val="0"/>
          <w:numId w:val="2"/>
        </w:numPr>
        <w:spacing w:after="40" w:before="40"/>
      </w:pPr>
      <w:r>
        <w:rPr>
          <w:rFonts w:ascii="Arial" w:cs="Arial" w:eastAsia="Arial" w:hAnsi="Arial"/>
          <w:sz w:val="22"/>
          <w:szCs w:val="22"/>
        </w:rPr>
        <w:t xml:space="preserve">Emotional or psychological abuse — persistent emotional maltreatment that impacts wellbeing</w:t>
      </w:r>
    </w:p>
    <w:p>
      <w:pPr>
        <w:pStyle w:val="ListParagraph"/>
        <w:numPr>
          <w:ilvl w:val="0"/>
          <w:numId w:val="2"/>
        </w:numPr>
        <w:spacing w:after="40" w:before="40"/>
      </w:pPr>
      <w:r>
        <w:rPr>
          <w:rFonts w:ascii="Arial" w:cs="Arial" w:eastAsia="Arial" w:hAnsi="Arial"/>
          <w:sz w:val="22"/>
          <w:szCs w:val="22"/>
        </w:rPr>
        <w:t xml:space="preserve">Sexual abuse — forcing or enticing a child or young person to take part in sexual activities</w:t>
      </w:r>
    </w:p>
    <w:p>
      <w:pPr>
        <w:pStyle w:val="ListParagraph"/>
        <w:numPr>
          <w:ilvl w:val="0"/>
          <w:numId w:val="2"/>
        </w:numPr>
        <w:spacing w:after="40" w:before="40"/>
      </w:pPr>
      <w:r>
        <w:rPr>
          <w:rFonts w:ascii="Arial" w:cs="Arial" w:eastAsia="Arial" w:hAnsi="Arial"/>
          <w:sz w:val="22"/>
          <w:szCs w:val="22"/>
        </w:rPr>
        <w:t xml:space="preserve">Neglect — persistent failure to meet basic physical, emotional, or educational needs</w:t>
      </w:r>
    </w:p>
    <w:p>
      <w:pPr>
        <w:pStyle w:val="ListParagraph"/>
        <w:numPr>
          <w:ilvl w:val="0"/>
          <w:numId w:val="2"/>
        </w:numPr>
        <w:spacing w:after="40" w:before="40"/>
      </w:pPr>
      <w:r>
        <w:rPr>
          <w:rFonts w:ascii="Arial" w:cs="Arial" w:eastAsia="Arial" w:hAnsi="Arial"/>
          <w:sz w:val="22"/>
          <w:szCs w:val="22"/>
        </w:rPr>
        <w:t xml:space="preserve">Financial or material abuse — theft, fraud, exploitation, or misuse of property</w:t>
      </w:r>
    </w:p>
    <w:p>
      <w:pPr>
        <w:pStyle w:val="ListParagraph"/>
        <w:numPr>
          <w:ilvl w:val="0"/>
          <w:numId w:val="2"/>
        </w:numPr>
        <w:spacing w:after="40" w:before="40"/>
      </w:pPr>
      <w:r>
        <w:rPr>
          <w:rFonts w:ascii="Arial" w:cs="Arial" w:eastAsia="Arial" w:hAnsi="Arial"/>
          <w:sz w:val="22"/>
          <w:szCs w:val="22"/>
        </w:rPr>
        <w:t xml:space="preserve">Online or cyber abuse — harassment, exploitation, or grooming conducted via digital channels</w:t>
      </w:r>
    </w:p>
    <w:p>
      <w:pPr>
        <w:pStyle w:val="ListParagraph"/>
        <w:numPr>
          <w:ilvl w:val="0"/>
          <w:numId w:val="2"/>
        </w:numPr>
        <w:spacing w:after="40" w:before="40"/>
      </w:pPr>
      <w:r>
        <w:rPr>
          <w:rFonts w:ascii="Arial" w:cs="Arial" w:eastAsia="Arial" w:hAnsi="Arial"/>
          <w:sz w:val="22"/>
          <w:szCs w:val="22"/>
        </w:rPr>
        <w:t xml:space="preserve">Radicalisation and extremism — exposure to, or promotion of, extremist views or terrorist ideology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4. Roles and Responsibilities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Role / Body</w:t>
            </w:r>
          </w:p>
        </w:tc>
        <w:tc>
          <w:tcPr>
            <w:tcW w:type="dxa" w:w="602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Safeguarding Responsibilities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Designated Safeguarding Lead (DSL)</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Primary point of contact for all safeguarding concerns; leads on policy implementation, staff training, and referrals to external agencies.</w:t>
            </w:r>
          </w:p>
        </w:tc>
      </w:tr>
      <w:tr>
        <w:tc>
          <w:tcPr>
            <w:tcW w:type="dxa" w:w="3000"/>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Deputy Designated Safeguarding Lead</w:t>
            </w:r>
          </w:p>
        </w:tc>
        <w:tc>
          <w:tcPr>
            <w:tcW w:type="dxa" w:w="6026"/>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Supports the DSL and acts in their absence; must be sufficiently trained to fulfil DSL duties.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Senior Leadership Team</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Ensures safeguarding is embedded across the organisation; reviews this policy annually; ensures adequate resources for safeguarding.</w:t>
            </w:r>
          </w:p>
        </w:tc>
      </w:tr>
      <w:tr>
        <w:tc>
          <w:tcPr>
            <w:tcW w:type="dxa" w:w="3000"/>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All Staff and Tutors</w:t>
            </w:r>
          </w:p>
        </w:tc>
        <w:tc>
          <w:tcPr>
            <w:tcW w:type="dxa" w:w="6026"/>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Must complete safeguarding training; must report concerns immediately to the DSL; must not investigate concerns themselves.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Trustees / Directors</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Hold overall accountability for safeguarding governance; receive regular safeguarding updates from the DSL.</w:t>
            </w:r>
          </w:p>
        </w:tc>
      </w:tr>
    </w:tbl>
    <w:p>
      <w:pPr>
        <w:spacing w:after="80" w:before="0"/>
      </w:pPr>
      <w:r>
        <w:t xml:space="preserve"/>
      </w:r>
    </w:p>
    <w:p>
      <w:pPr>
        <w:spacing w:after="100" w:before="60"/>
      </w:pPr>
      <w:r>
        <w:rPr>
          <w:rFonts w:ascii="Arial" w:cs="Arial" w:eastAsia="Arial" w:hAnsi="Arial"/>
          <w:sz w:val="22"/>
          <w:szCs w:val="22"/>
        </w:rPr>
        <w:t xml:space="preserve">The names and contact details of the current Designated Safeguarding Lead and Deputy are held internally and communicated to all staff at induction and whenever the role-holder changes. This policy intentionally refers to roles rather than named individuals to remain valid across staffing changes.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5. Recognising Signs of Concern</w:t>
      </w:r>
    </w:p>
    <w:p>
      <w:pPr>
        <w:spacing w:after="100" w:before="60"/>
      </w:pPr>
      <w:r>
        <w:rPr>
          <w:rFonts w:ascii="Arial" w:cs="Arial" w:eastAsia="Arial" w:hAnsi="Arial"/>
          <w:sz w:val="22"/>
          <w:szCs w:val="22"/>
        </w:rPr>
        <w:t xml:space="preserve">All staff and tutors must be alert to signs that a student may be experiencing abuse, neglect, or exploitation. In an online environment, indicators may include:</w:t>
      </w:r>
    </w:p>
    <w:p>
      <w:pPr>
        <w:pStyle w:val="ListParagraph"/>
        <w:numPr>
          <w:ilvl w:val="0"/>
          <w:numId w:val="2"/>
        </w:numPr>
        <w:spacing w:after="40" w:before="40"/>
      </w:pPr>
      <w:r>
        <w:rPr>
          <w:rFonts w:ascii="Arial" w:cs="Arial" w:eastAsia="Arial" w:hAnsi="Arial"/>
          <w:sz w:val="22"/>
          <w:szCs w:val="22"/>
        </w:rPr>
        <w:t xml:space="preserve">Sudden changes in academic engagement or communication patterns</w:t>
      </w:r>
    </w:p>
    <w:p>
      <w:pPr>
        <w:pStyle w:val="ListParagraph"/>
        <w:numPr>
          <w:ilvl w:val="0"/>
          <w:numId w:val="2"/>
        </w:numPr>
        <w:spacing w:after="40" w:before="40"/>
      </w:pPr>
      <w:r>
        <w:rPr>
          <w:rFonts w:ascii="Arial" w:cs="Arial" w:eastAsia="Arial" w:hAnsi="Arial"/>
          <w:sz w:val="22"/>
          <w:szCs w:val="22"/>
        </w:rPr>
        <w:t xml:space="preserve">Disclosures made during online sessions, via email, or in submitted work</w:t>
      </w:r>
    </w:p>
    <w:p>
      <w:pPr>
        <w:pStyle w:val="ListParagraph"/>
        <w:numPr>
          <w:ilvl w:val="0"/>
          <w:numId w:val="2"/>
        </w:numPr>
        <w:spacing w:after="40" w:before="40"/>
      </w:pPr>
      <w:r>
        <w:rPr>
          <w:rFonts w:ascii="Arial" w:cs="Arial" w:eastAsia="Arial" w:hAnsi="Arial"/>
          <w:sz w:val="22"/>
          <w:szCs w:val="22"/>
        </w:rPr>
        <w:t xml:space="preserve">References to self-harm, suicidal ideation, or abuse in coursework or messages</w:t>
      </w:r>
    </w:p>
    <w:p>
      <w:pPr>
        <w:pStyle w:val="ListParagraph"/>
        <w:numPr>
          <w:ilvl w:val="0"/>
          <w:numId w:val="2"/>
        </w:numPr>
        <w:spacing w:after="40" w:before="40"/>
      </w:pPr>
      <w:r>
        <w:rPr>
          <w:rFonts w:ascii="Arial" w:cs="Arial" w:eastAsia="Arial" w:hAnsi="Arial"/>
          <w:sz w:val="22"/>
          <w:szCs w:val="22"/>
        </w:rPr>
        <w:t xml:space="preserve">Expressions of fear, distress, or isolation</w:t>
      </w:r>
    </w:p>
    <w:p>
      <w:pPr>
        <w:pStyle w:val="ListParagraph"/>
        <w:numPr>
          <w:ilvl w:val="0"/>
          <w:numId w:val="2"/>
        </w:numPr>
        <w:spacing w:after="40" w:before="40"/>
      </w:pPr>
      <w:r>
        <w:rPr>
          <w:rFonts w:ascii="Arial" w:cs="Arial" w:eastAsia="Arial" w:hAnsi="Arial"/>
          <w:sz w:val="22"/>
          <w:szCs w:val="22"/>
        </w:rPr>
        <w:t xml:space="preserve">Signs of grooming, undue influence, or control by another person</w:t>
      </w:r>
    </w:p>
    <w:p>
      <w:pPr>
        <w:pStyle w:val="ListParagraph"/>
        <w:numPr>
          <w:ilvl w:val="0"/>
          <w:numId w:val="2"/>
        </w:numPr>
        <w:spacing w:after="40" w:before="40"/>
      </w:pPr>
      <w:r>
        <w:rPr>
          <w:rFonts w:ascii="Arial" w:cs="Arial" w:eastAsia="Arial" w:hAnsi="Arial"/>
          <w:sz w:val="22"/>
          <w:szCs w:val="22"/>
        </w:rPr>
        <w:t xml:space="preserve">Indications of radicalisation or exposure to extremist content</w:t>
      </w:r>
    </w:p>
    <w:p>
      <w:pPr>
        <w:pStyle w:val="ListParagraph"/>
        <w:numPr>
          <w:ilvl w:val="0"/>
          <w:numId w:val="2"/>
        </w:numPr>
        <w:spacing w:after="40" w:before="40"/>
      </w:pPr>
      <w:r>
        <w:rPr>
          <w:rFonts w:ascii="Arial" w:cs="Arial" w:eastAsia="Arial" w:hAnsi="Arial"/>
          <w:sz w:val="22"/>
          <w:szCs w:val="22"/>
        </w:rPr>
        <w:t xml:space="preserve">Disclosures of domestic abuse or violence</w:t>
      </w:r>
    </w:p>
    <w:p>
      <w:pPr>
        <w:spacing w:after="80" w:before="0"/>
      </w:pPr>
      <w:r>
        <w:t xml:space="preserve"/>
      </w:r>
    </w:p>
    <w:p>
      <w:pPr>
        <w:spacing w:after="100" w:before="60"/>
      </w:pPr>
      <w:r>
        <w:rPr>
          <w:rFonts w:ascii="Arial" w:cs="Arial" w:eastAsia="Arial" w:hAnsi="Arial"/>
          <w:sz w:val="22"/>
          <w:szCs w:val="22"/>
        </w:rPr>
        <w:t xml:space="preserve">Staff should also be attentive to the wellbeing of colleagues and report concerns about a fellow member of staff if relevant.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6. Reporting a Safeguarding Concern</w:t>
      </w:r>
    </w:p>
    <w:p>
      <w:pPr>
        <w:spacing w:after="80" w:before="220"/>
      </w:pPr>
      <w:r>
        <w:rPr>
          <w:rFonts w:ascii="Arial" w:cs="Arial" w:eastAsia="Arial" w:hAnsi="Arial"/>
          <w:b/>
          <w:bCs/>
          <w:color w:val="2E75B6"/>
          <w:sz w:val="24"/>
          <w:szCs w:val="24"/>
        </w:rPr>
        <w:t xml:space="preserve">6.1 Internal Reporting Procedure</w:t>
      </w:r>
    </w:p>
    <w:p>
      <w:pPr>
        <w:spacing w:after="100" w:before="60"/>
      </w:pPr>
      <w:r>
        <w:rPr>
          <w:rFonts w:ascii="Arial" w:cs="Arial" w:eastAsia="Arial" w:hAnsi="Arial"/>
          <w:sz w:val="22"/>
          <w:szCs w:val="22"/>
        </w:rPr>
        <w:t xml:space="preserve">Any member of staff, tutor, or student who has a safeguarding concern must follow these steps:</w:t>
      </w:r>
    </w:p>
    <w:p>
      <w:pPr>
        <w:pStyle w:val="ListParagraph"/>
        <w:numPr>
          <w:ilvl w:val="0"/>
          <w:numId w:val="3"/>
        </w:numPr>
        <w:spacing w:after="40" w:before="40"/>
      </w:pPr>
      <w:r>
        <w:rPr>
          <w:rFonts w:ascii="Arial" w:cs="Arial" w:eastAsia="Arial" w:hAnsi="Arial"/>
          <w:sz w:val="22"/>
          <w:szCs w:val="22"/>
        </w:rPr>
        <w:t xml:space="preserve">Do not investigate the concern yourself or promise confidentiality to the person disclosing.</w:t>
      </w:r>
    </w:p>
    <w:p>
      <w:pPr>
        <w:pStyle w:val="ListParagraph"/>
        <w:numPr>
          <w:ilvl w:val="0"/>
          <w:numId w:val="3"/>
        </w:numPr>
        <w:spacing w:after="40" w:before="40"/>
      </w:pPr>
      <w:r>
        <w:rPr>
          <w:rFonts w:ascii="Arial" w:cs="Arial" w:eastAsia="Arial" w:hAnsi="Arial"/>
          <w:sz w:val="22"/>
          <w:szCs w:val="22"/>
        </w:rPr>
        <w:t xml:space="preserve">Listen carefully, remain calm, and reassure the individual that they have done the right thing in speaking up.</w:t>
      </w:r>
    </w:p>
    <w:p>
      <w:pPr>
        <w:pStyle w:val="ListParagraph"/>
        <w:numPr>
          <w:ilvl w:val="0"/>
          <w:numId w:val="3"/>
        </w:numPr>
        <w:spacing w:after="40" w:before="40"/>
      </w:pPr>
      <w:r>
        <w:rPr>
          <w:rFonts w:ascii="Arial" w:cs="Arial" w:eastAsia="Arial" w:hAnsi="Arial"/>
          <w:sz w:val="22"/>
          <w:szCs w:val="22"/>
        </w:rPr>
        <w:t xml:space="preserve">Make a written record of what was said, observed, or reported as soon as possible, using the individual's own words where possible.</w:t>
      </w:r>
    </w:p>
    <w:p>
      <w:pPr>
        <w:pStyle w:val="ListParagraph"/>
        <w:numPr>
          <w:ilvl w:val="0"/>
          <w:numId w:val="3"/>
        </w:numPr>
        <w:spacing w:after="40" w:before="40"/>
      </w:pPr>
      <w:r>
        <w:rPr>
          <w:rFonts w:ascii="Arial" w:cs="Arial" w:eastAsia="Arial" w:hAnsi="Arial"/>
          <w:sz w:val="22"/>
          <w:szCs w:val="22"/>
        </w:rPr>
        <w:t xml:space="preserve">Report the concern to the Designated Safeguarding Lead (DSL) without delay by email to safeguarding@thelondonschoolofpublichealth.com</w:t>
      </w:r>
    </w:p>
    <w:p>
      <w:pPr>
        <w:pStyle w:val="ListParagraph"/>
        <w:numPr>
          <w:ilvl w:val="0"/>
          <w:numId w:val="3"/>
        </w:numPr>
        <w:spacing w:after="40" w:before="40"/>
      </w:pPr>
      <w:r>
        <w:rPr>
          <w:rFonts w:ascii="Arial" w:cs="Arial" w:eastAsia="Arial" w:hAnsi="Arial"/>
          <w:sz w:val="22"/>
          <w:szCs w:val="22"/>
        </w:rPr>
        <w:t xml:space="preserve">If the DSL is unavailable, contact the Deputy DSL or a member of the Senior Leadership Team immediately.</w:t>
      </w:r>
    </w:p>
    <w:p>
      <w:pPr>
        <w:pStyle w:val="ListParagraph"/>
        <w:numPr>
          <w:ilvl w:val="0"/>
          <w:numId w:val="3"/>
        </w:numPr>
        <w:spacing w:after="40" w:before="40"/>
      </w:pPr>
      <w:r>
        <w:rPr>
          <w:rFonts w:ascii="Arial" w:cs="Arial" w:eastAsia="Arial" w:hAnsi="Arial"/>
          <w:sz w:val="22"/>
          <w:szCs w:val="22"/>
        </w:rPr>
        <w:t xml:space="preserve">If you believe a person is in immediate danger, call 999 before taking any other step.</w:t>
      </w:r>
    </w:p>
    <w:p>
      <w:pPr>
        <w:spacing w:after="80" w:before="0"/>
      </w:pPr>
      <w:r>
        <w:t xml:space="preserve"/>
      </w:r>
    </w:p>
    <w:p>
      <w:pPr>
        <w:spacing w:after="80" w:before="220"/>
      </w:pPr>
      <w:r>
        <w:rPr>
          <w:rFonts w:ascii="Arial" w:cs="Arial" w:eastAsia="Arial" w:hAnsi="Arial"/>
          <w:b/>
          <w:bCs/>
          <w:color w:val="2E75B6"/>
          <w:sz w:val="24"/>
          <w:szCs w:val="24"/>
        </w:rPr>
        <w:t xml:space="preserve">6.2 External Referral</w:t>
      </w:r>
    </w:p>
    <w:p>
      <w:pPr>
        <w:spacing w:after="100" w:before="60"/>
      </w:pPr>
      <w:r>
        <w:rPr>
          <w:rFonts w:ascii="Arial" w:cs="Arial" w:eastAsia="Arial" w:hAnsi="Arial"/>
          <w:sz w:val="22"/>
          <w:szCs w:val="22"/>
        </w:rPr>
        <w:t xml:space="preserve">The DSL is responsible for determining whether a concern should be referred to external agencies, including:</w:t>
      </w:r>
    </w:p>
    <w:p>
      <w:pPr>
        <w:pStyle w:val="ListParagraph"/>
        <w:numPr>
          <w:ilvl w:val="0"/>
          <w:numId w:val="2"/>
        </w:numPr>
        <w:spacing w:after="40" w:before="40"/>
      </w:pPr>
      <w:r>
        <w:rPr>
          <w:rFonts w:ascii="Arial" w:cs="Arial" w:eastAsia="Arial" w:hAnsi="Arial"/>
          <w:sz w:val="22"/>
          <w:szCs w:val="22"/>
        </w:rPr>
        <w:t xml:space="preserve">Local Authority Children's Services (for concerns involving a child)</w:t>
      </w:r>
    </w:p>
    <w:p>
      <w:pPr>
        <w:pStyle w:val="ListParagraph"/>
        <w:numPr>
          <w:ilvl w:val="0"/>
          <w:numId w:val="2"/>
        </w:numPr>
        <w:spacing w:after="40" w:before="40"/>
      </w:pPr>
      <w:r>
        <w:rPr>
          <w:rFonts w:ascii="Arial" w:cs="Arial" w:eastAsia="Arial" w:hAnsi="Arial"/>
          <w:sz w:val="22"/>
          <w:szCs w:val="22"/>
        </w:rPr>
        <w:t xml:space="preserve">Adult Social Care (for concerns involving a vulnerable adult)</w:t>
      </w:r>
    </w:p>
    <w:p>
      <w:pPr>
        <w:pStyle w:val="ListParagraph"/>
        <w:numPr>
          <w:ilvl w:val="0"/>
          <w:numId w:val="2"/>
        </w:numPr>
        <w:spacing w:after="40" w:before="40"/>
      </w:pPr>
      <w:r>
        <w:rPr>
          <w:rFonts w:ascii="Arial" w:cs="Arial" w:eastAsia="Arial" w:hAnsi="Arial"/>
          <w:sz w:val="22"/>
          <w:szCs w:val="22"/>
        </w:rPr>
        <w:t xml:space="preserve">The Police (where a crime may have been committed)</w:t>
      </w:r>
    </w:p>
    <w:p>
      <w:pPr>
        <w:pStyle w:val="ListParagraph"/>
        <w:numPr>
          <w:ilvl w:val="0"/>
          <w:numId w:val="2"/>
        </w:numPr>
        <w:spacing w:after="40" w:before="40"/>
      </w:pPr>
      <w:r>
        <w:rPr>
          <w:rFonts w:ascii="Arial" w:cs="Arial" w:eastAsia="Arial" w:hAnsi="Arial"/>
          <w:sz w:val="22"/>
          <w:szCs w:val="22"/>
        </w:rPr>
        <w:t xml:space="preserve">The Disclosure and Barring Service (DBS) (where a staff member poses a risk)</w:t>
      </w:r>
    </w:p>
    <w:p>
      <w:pPr>
        <w:pStyle w:val="ListParagraph"/>
        <w:numPr>
          <w:ilvl w:val="0"/>
          <w:numId w:val="2"/>
        </w:numPr>
        <w:spacing w:after="40" w:before="40"/>
      </w:pPr>
      <w:r>
        <w:rPr>
          <w:rFonts w:ascii="Arial" w:cs="Arial" w:eastAsia="Arial" w:hAnsi="Arial"/>
          <w:sz w:val="22"/>
          <w:szCs w:val="22"/>
        </w:rPr>
        <w:t xml:space="preserve">Ofsted or relevant regulatory body, where required</w:t>
      </w:r>
    </w:p>
    <w:p>
      <w:pPr>
        <w:spacing w:after="80" w:before="0"/>
      </w:pPr>
      <w:r>
        <w:t xml:space="preserve"/>
      </w:r>
    </w:p>
    <w:p>
      <w:pPr>
        <w:spacing w:after="100" w:before="60"/>
      </w:pPr>
      <w:r>
        <w:rPr>
          <w:rFonts w:ascii="Arial" w:cs="Arial" w:eastAsia="Arial" w:hAnsi="Arial"/>
          <w:sz w:val="22"/>
          <w:szCs w:val="22"/>
        </w:rPr>
        <w:t xml:space="preserve">All external referrals will be documented and retained confidentially in accordance with TLSPH's Data Retention Policy.</w:t>
      </w:r>
    </w:p>
    <w:p>
      <w:pPr>
        <w:spacing w:after="80" w:before="220"/>
      </w:pPr>
      <w:r>
        <w:rPr>
          <w:rFonts w:ascii="Arial" w:cs="Arial" w:eastAsia="Arial" w:hAnsi="Arial"/>
          <w:b/>
          <w:bCs/>
          <w:color w:val="2E75B6"/>
          <w:sz w:val="24"/>
          <w:szCs w:val="24"/>
        </w:rPr>
        <w:t xml:space="preserve">6.3 Confidentiality</w:t>
      </w:r>
    </w:p>
    <w:p>
      <w:pPr>
        <w:spacing w:after="100" w:before="60"/>
      </w:pPr>
      <w:r>
        <w:rPr>
          <w:rFonts w:ascii="Arial" w:cs="Arial" w:eastAsia="Arial" w:hAnsi="Arial"/>
          <w:sz w:val="22"/>
          <w:szCs w:val="22"/>
        </w:rPr>
        <w:t xml:space="preserve">Safeguarding information will be handled with appropriate confidentiality. Information will only be shared with those who need to know in order to protect the individual concerned. This may include sharing information with external agencies without the individual's consent if there is a risk to life or a legal obligation to disclose.</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7. Online Safety</w:t>
      </w:r>
    </w:p>
    <w:p>
      <w:pPr>
        <w:spacing w:after="100" w:before="60"/>
      </w:pPr>
      <w:r>
        <w:rPr>
          <w:rFonts w:ascii="Arial" w:cs="Arial" w:eastAsia="Arial" w:hAnsi="Arial"/>
          <w:sz w:val="22"/>
          <w:szCs w:val="22"/>
        </w:rPr>
        <w:t xml:space="preserve">TLSPH recognises that online learning environments present specific safeguarding risks. The following principles apply to all online interactions between staff, tutors, and students:</w:t>
      </w:r>
    </w:p>
    <w:p>
      <w:pPr>
        <w:pStyle w:val="ListParagraph"/>
        <w:numPr>
          <w:ilvl w:val="0"/>
          <w:numId w:val="2"/>
        </w:numPr>
        <w:spacing w:after="40" w:before="40"/>
      </w:pPr>
      <w:r>
        <w:rPr>
          <w:rFonts w:ascii="Arial" w:cs="Arial" w:eastAsia="Arial" w:hAnsi="Arial"/>
          <w:sz w:val="22"/>
          <w:szCs w:val="22"/>
        </w:rPr>
        <w:t xml:space="preserve">All one-to-one video or audio contact with students under 18 must be conducted using approved TLSPH platforms only, and should be recorded where appropriate and where consent is given</w:t>
      </w:r>
    </w:p>
    <w:p>
      <w:pPr>
        <w:pStyle w:val="ListParagraph"/>
        <w:numPr>
          <w:ilvl w:val="0"/>
          <w:numId w:val="2"/>
        </w:numPr>
        <w:spacing w:after="40" w:before="40"/>
      </w:pPr>
      <w:r>
        <w:rPr>
          <w:rFonts w:ascii="Arial" w:cs="Arial" w:eastAsia="Arial" w:hAnsi="Arial"/>
          <w:sz w:val="22"/>
          <w:szCs w:val="22"/>
        </w:rPr>
        <w:t xml:space="preserve">Staff must not communicate with students via personal social media accounts or personal messaging services</w:t>
      </w:r>
    </w:p>
    <w:p>
      <w:pPr>
        <w:pStyle w:val="ListParagraph"/>
        <w:numPr>
          <w:ilvl w:val="0"/>
          <w:numId w:val="2"/>
        </w:numPr>
        <w:spacing w:after="40" w:before="40"/>
      </w:pPr>
      <w:r>
        <w:rPr>
          <w:rFonts w:ascii="Arial" w:cs="Arial" w:eastAsia="Arial" w:hAnsi="Arial"/>
          <w:sz w:val="22"/>
          <w:szCs w:val="22"/>
        </w:rPr>
        <w:t xml:space="preserve">Any inappropriate content shared through the learning platform must be reported to the DSL immediately</w:t>
      </w:r>
    </w:p>
    <w:p>
      <w:pPr>
        <w:pStyle w:val="ListParagraph"/>
        <w:numPr>
          <w:ilvl w:val="0"/>
          <w:numId w:val="2"/>
        </w:numPr>
        <w:spacing w:after="40" w:before="40"/>
      </w:pPr>
      <w:r>
        <w:rPr>
          <w:rFonts w:ascii="Arial" w:cs="Arial" w:eastAsia="Arial" w:hAnsi="Arial"/>
          <w:sz w:val="22"/>
          <w:szCs w:val="22"/>
        </w:rPr>
        <w:t xml:space="preserve">Staff must complete online safety training as part of their induction and annual safeguarding refresher</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AF4FB" w:val="clear"/>
            <w:tcMar>
              <w:top w:type="dxa" w:w="120"/>
              <w:left w:type="dxa" w:w="200"/>
              <w:bottom w:type="dxa" w:w="120"/>
              <w:right w:type="dxa" w:w="200"/>
            </w:tcMar>
          </w:tcPr>
          <w:p>
            <w:pPr>
              <w:spacing w:after="60" w:before="0"/>
            </w:pPr>
            <w:r>
              <w:rPr>
                <w:rFonts w:ascii="Arial" w:cs="Arial" w:eastAsia="Arial" w:hAnsi="Arial"/>
                <w:b/>
                <w:bCs/>
                <w:color w:val="1B3A6B"/>
                <w:sz w:val="21"/>
                <w:szCs w:val="21"/>
              </w:rPr>
              <w:t xml:space="preserve">Prevent Duty</w:t>
            </w:r>
          </w:p>
          <w:p>
            <w:pPr>
              <w:spacing w:after="0" w:before="0"/>
            </w:pPr>
            <w:r>
              <w:rPr>
                <w:rFonts w:ascii="Arial" w:cs="Arial" w:eastAsia="Arial" w:hAnsi="Arial"/>
                <w:sz w:val="20"/>
                <w:szCs w:val="20"/>
              </w:rPr>
              <w:t xml:space="preserve">TLSPH is committed to supporting the government's Prevent strategy to reduce the risk of radicalisation and extremism. Any concerns that a student or member of staff may be vulnerable to radicalisation should be reported to the DSL immediately, who will consider a referral to the local Channel programme or police.</w:t>
            </w:r>
          </w:p>
        </w:tc>
      </w:tr>
    </w:tbl>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8. Safer Recruitment</w:t>
      </w:r>
    </w:p>
    <w:p>
      <w:pPr>
        <w:spacing w:after="100" w:before="60"/>
      </w:pPr>
      <w:r>
        <w:rPr>
          <w:rFonts w:ascii="Arial" w:cs="Arial" w:eastAsia="Arial" w:hAnsi="Arial"/>
          <w:sz w:val="22"/>
          <w:szCs w:val="22"/>
        </w:rPr>
        <w:t xml:space="preserve">TLSPH is committed to safer recruitment practices to minimise the risk of employing individuals who may pose a risk to children or vulnerable adults. This includes:</w:t>
      </w:r>
    </w:p>
    <w:p>
      <w:pPr>
        <w:pStyle w:val="ListParagraph"/>
        <w:numPr>
          <w:ilvl w:val="0"/>
          <w:numId w:val="2"/>
        </w:numPr>
        <w:spacing w:after="40" w:before="40"/>
      </w:pPr>
      <w:r>
        <w:rPr>
          <w:rFonts w:ascii="Arial" w:cs="Arial" w:eastAsia="Arial" w:hAnsi="Arial"/>
          <w:sz w:val="22"/>
          <w:szCs w:val="22"/>
        </w:rPr>
        <w:t xml:space="preserve">Verifying the identity of all applicants</w:t>
      </w:r>
    </w:p>
    <w:p>
      <w:pPr>
        <w:pStyle w:val="ListParagraph"/>
        <w:numPr>
          <w:ilvl w:val="0"/>
          <w:numId w:val="2"/>
        </w:numPr>
        <w:spacing w:after="40" w:before="40"/>
      </w:pPr>
      <w:r>
        <w:rPr>
          <w:rFonts w:ascii="Arial" w:cs="Arial" w:eastAsia="Arial" w:hAnsi="Arial"/>
          <w:sz w:val="22"/>
          <w:szCs w:val="22"/>
        </w:rPr>
        <w:t xml:space="preserve">Obtaining and verifying references prior to appointment</w:t>
      </w:r>
    </w:p>
    <w:p>
      <w:pPr>
        <w:pStyle w:val="ListParagraph"/>
        <w:numPr>
          <w:ilvl w:val="0"/>
          <w:numId w:val="2"/>
        </w:numPr>
        <w:spacing w:after="40" w:before="40"/>
      </w:pPr>
      <w:r>
        <w:rPr>
          <w:rFonts w:ascii="Arial" w:cs="Arial" w:eastAsia="Arial" w:hAnsi="Arial"/>
          <w:sz w:val="22"/>
          <w:szCs w:val="22"/>
        </w:rPr>
        <w:t xml:space="preserve">Conducting enhanced Disclosure and Barring Service (DBS) checks for all staff and tutors who have contact with students, including those under 18</w:t>
      </w:r>
    </w:p>
    <w:p>
      <w:pPr>
        <w:pStyle w:val="ListParagraph"/>
        <w:numPr>
          <w:ilvl w:val="0"/>
          <w:numId w:val="2"/>
        </w:numPr>
        <w:spacing w:after="40" w:before="40"/>
      </w:pPr>
      <w:r>
        <w:rPr>
          <w:rFonts w:ascii="Arial" w:cs="Arial" w:eastAsia="Arial" w:hAnsi="Arial"/>
          <w:sz w:val="22"/>
          <w:szCs w:val="22"/>
        </w:rPr>
        <w:t xml:space="preserve">Checking that applicants are not barred from working with children or vulnerable adults</w:t>
      </w:r>
    </w:p>
    <w:p>
      <w:pPr>
        <w:pStyle w:val="ListParagraph"/>
        <w:numPr>
          <w:ilvl w:val="0"/>
          <w:numId w:val="2"/>
        </w:numPr>
        <w:spacing w:after="40" w:before="40"/>
      </w:pPr>
      <w:r>
        <w:rPr>
          <w:rFonts w:ascii="Arial" w:cs="Arial" w:eastAsia="Arial" w:hAnsi="Arial"/>
          <w:sz w:val="22"/>
          <w:szCs w:val="22"/>
        </w:rPr>
        <w:t xml:space="preserve">Ensuring DBS checks are renewed in accordance with TLSPH's internal schedule</w:t>
      </w:r>
    </w:p>
    <w:p>
      <w:pPr>
        <w:spacing w:after="80" w:before="0"/>
      </w:pPr>
      <w:r>
        <w:t xml:space="preserve"/>
      </w:r>
    </w:p>
    <w:p>
      <w:pPr>
        <w:spacing w:after="100" w:before="60"/>
      </w:pPr>
      <w:r>
        <w:rPr>
          <w:rFonts w:ascii="Arial" w:cs="Arial" w:eastAsia="Arial" w:hAnsi="Arial"/>
          <w:sz w:val="22"/>
          <w:szCs w:val="22"/>
        </w:rPr>
        <w:t xml:space="preserve">Staff who are required to hold a DBS check must not commence work in a student-facing role until the check has been satisfactorily completed, unless a robust risk assessment has been carried out and approved by the Senior Leadership Team.</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9. Training</w:t>
      </w:r>
    </w:p>
    <w:p>
      <w:pPr>
        <w:spacing w:after="100" w:before="60"/>
      </w:pPr>
      <w:r>
        <w:rPr>
          <w:rFonts w:ascii="Arial" w:cs="Arial" w:eastAsia="Arial" w:hAnsi="Arial"/>
          <w:sz w:val="22"/>
          <w:szCs w:val="22"/>
        </w:rPr>
        <w:t xml:space="preserve">TLSPH is committed to ensuring that all relevant staff receive appropriate safeguarding training:</w:t>
      </w:r>
    </w:p>
    <w:p>
      <w:pPr>
        <w:pStyle w:val="ListParagraph"/>
        <w:numPr>
          <w:ilvl w:val="0"/>
          <w:numId w:val="2"/>
        </w:numPr>
        <w:spacing w:after="40" w:before="40"/>
      </w:pPr>
      <w:r>
        <w:rPr>
          <w:rFonts w:ascii="Arial" w:cs="Arial" w:eastAsia="Arial" w:hAnsi="Arial"/>
          <w:sz w:val="22"/>
          <w:szCs w:val="22"/>
        </w:rPr>
        <w:t xml:space="preserve">All staff and tutors must complete safeguarding awareness training at induction</w:t>
      </w:r>
    </w:p>
    <w:p>
      <w:pPr>
        <w:pStyle w:val="ListParagraph"/>
        <w:numPr>
          <w:ilvl w:val="0"/>
          <w:numId w:val="2"/>
        </w:numPr>
        <w:spacing w:after="40" w:before="40"/>
      </w:pPr>
      <w:r>
        <w:rPr>
          <w:rFonts w:ascii="Arial" w:cs="Arial" w:eastAsia="Arial" w:hAnsi="Arial"/>
          <w:sz w:val="22"/>
          <w:szCs w:val="22"/>
        </w:rPr>
        <w:t xml:space="preserve">Refresher training must be completed at least every two years, or more frequently where required by changes in legislation or guidance</w:t>
      </w:r>
    </w:p>
    <w:p>
      <w:pPr>
        <w:pStyle w:val="ListParagraph"/>
        <w:numPr>
          <w:ilvl w:val="0"/>
          <w:numId w:val="2"/>
        </w:numPr>
        <w:spacing w:after="40" w:before="40"/>
      </w:pPr>
      <w:r>
        <w:rPr>
          <w:rFonts w:ascii="Arial" w:cs="Arial" w:eastAsia="Arial" w:hAnsi="Arial"/>
          <w:sz w:val="22"/>
          <w:szCs w:val="22"/>
        </w:rPr>
        <w:t xml:space="preserve">The DSL must complete advanced-level safeguarding training appropriate to their role</w:t>
      </w:r>
    </w:p>
    <w:p>
      <w:pPr>
        <w:pStyle w:val="ListParagraph"/>
        <w:numPr>
          <w:ilvl w:val="0"/>
          <w:numId w:val="2"/>
        </w:numPr>
        <w:spacing w:after="40" w:before="40"/>
      </w:pPr>
      <w:r>
        <w:rPr>
          <w:rFonts w:ascii="Arial" w:cs="Arial" w:eastAsia="Arial" w:hAnsi="Arial"/>
          <w:sz w:val="22"/>
          <w:szCs w:val="22"/>
        </w:rPr>
        <w:t xml:space="preserve">The Senior Leadership Team receives regular safeguarding briefings and updates</w:t>
      </w:r>
    </w:p>
    <w:p>
      <w:pPr>
        <w:spacing w:after="80" w:before="0"/>
      </w:pPr>
      <w:r>
        <w:t xml:space="preserve"/>
      </w:r>
    </w:p>
    <w:p>
      <w:pPr>
        <w:spacing w:after="100" w:before="60"/>
      </w:pPr>
      <w:r>
        <w:rPr>
          <w:rFonts w:ascii="Arial" w:cs="Arial" w:eastAsia="Arial" w:hAnsi="Arial"/>
          <w:sz w:val="22"/>
          <w:szCs w:val="22"/>
        </w:rPr>
        <w:t xml:space="preserve">Training records are maintained by the Senior Leadership Team and reviewed as part of the annual policy review.</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10. Allegations Against Staff</w:t>
      </w:r>
    </w:p>
    <w:p>
      <w:pPr>
        <w:spacing w:after="100" w:before="60"/>
      </w:pPr>
      <w:r>
        <w:rPr>
          <w:rFonts w:ascii="Arial" w:cs="Arial" w:eastAsia="Arial" w:hAnsi="Arial"/>
          <w:sz w:val="22"/>
          <w:szCs w:val="22"/>
        </w:rPr>
        <w:t xml:space="preserve">If an allegation is made against a member of staff, tutor, or contractor, the following procedure applies:</w:t>
      </w:r>
    </w:p>
    <w:p>
      <w:pPr>
        <w:pStyle w:val="ListParagraph"/>
        <w:numPr>
          <w:ilvl w:val="0"/>
          <w:numId w:val="2"/>
        </w:numPr>
        <w:spacing w:after="40" w:before="40"/>
      </w:pPr>
      <w:r>
        <w:rPr>
          <w:rFonts w:ascii="Arial" w:cs="Arial" w:eastAsia="Arial" w:hAnsi="Arial"/>
          <w:sz w:val="22"/>
          <w:szCs w:val="22"/>
        </w:rPr>
        <w:t xml:space="preserve">The concern must be reported to the Senior Leadership Team immediately</w:t>
      </w:r>
    </w:p>
    <w:p>
      <w:pPr>
        <w:pStyle w:val="ListParagraph"/>
        <w:numPr>
          <w:ilvl w:val="0"/>
          <w:numId w:val="2"/>
        </w:numPr>
        <w:spacing w:after="40" w:before="40"/>
      </w:pPr>
      <w:r>
        <w:rPr>
          <w:rFonts w:ascii="Arial" w:cs="Arial" w:eastAsia="Arial" w:hAnsi="Arial"/>
          <w:sz w:val="22"/>
          <w:szCs w:val="22"/>
        </w:rPr>
        <w:t xml:space="preserve">If the allegation concerns the DSL, the report must be made directly to the most senior member of the Senior Leadership Team</w:t>
      </w:r>
    </w:p>
    <w:p>
      <w:pPr>
        <w:pStyle w:val="ListParagraph"/>
        <w:numPr>
          <w:ilvl w:val="0"/>
          <w:numId w:val="2"/>
        </w:numPr>
        <w:spacing w:after="40" w:before="40"/>
      </w:pPr>
      <w:r>
        <w:rPr>
          <w:rFonts w:ascii="Arial" w:cs="Arial" w:eastAsia="Arial" w:hAnsi="Arial"/>
          <w:sz w:val="22"/>
          <w:szCs w:val="22"/>
        </w:rPr>
        <w:t xml:space="preserve">The individual subject to the allegation will not be informed until advice has been sought from the appropriate external agency</w:t>
      </w:r>
    </w:p>
    <w:p>
      <w:pPr>
        <w:pStyle w:val="ListParagraph"/>
        <w:numPr>
          <w:ilvl w:val="0"/>
          <w:numId w:val="2"/>
        </w:numPr>
        <w:spacing w:after="40" w:before="40"/>
      </w:pPr>
      <w:r>
        <w:rPr>
          <w:rFonts w:ascii="Arial" w:cs="Arial" w:eastAsia="Arial" w:hAnsi="Arial"/>
          <w:sz w:val="22"/>
          <w:szCs w:val="22"/>
        </w:rPr>
        <w:t xml:space="preserve">TLSPH will contact the Local Authority Designated Officer (LADO) where the allegation involves work with children</w:t>
      </w:r>
    </w:p>
    <w:p>
      <w:pPr>
        <w:pStyle w:val="ListParagraph"/>
        <w:numPr>
          <w:ilvl w:val="0"/>
          <w:numId w:val="2"/>
        </w:numPr>
        <w:spacing w:after="40" w:before="40"/>
      </w:pPr>
      <w:r>
        <w:rPr>
          <w:rFonts w:ascii="Arial" w:cs="Arial" w:eastAsia="Arial" w:hAnsi="Arial"/>
          <w:sz w:val="22"/>
          <w:szCs w:val="22"/>
        </w:rPr>
        <w:t xml:space="preserve">The individual may be suspended or have their duties adjusted pending investigation — this is not an assumption of guilt</w:t>
      </w:r>
    </w:p>
    <w:p>
      <w:pPr>
        <w:spacing w:after="80" w:before="0"/>
      </w:pPr>
      <w:r>
        <w:t xml:space="preserve"/>
      </w:r>
    </w:p>
    <w:p>
      <w:pPr>
        <w:spacing w:after="100" w:before="60"/>
      </w:pPr>
      <w:r>
        <w:rPr>
          <w:rFonts w:ascii="Arial" w:cs="Arial" w:eastAsia="Arial" w:hAnsi="Arial"/>
          <w:sz w:val="22"/>
          <w:szCs w:val="22"/>
        </w:rPr>
        <w:t xml:space="preserve">All allegations will be handled in accordance with relevant employment law, DBS requirements, and statutory guidance.</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11. Record Keeping</w:t>
      </w:r>
    </w:p>
    <w:p>
      <w:pPr>
        <w:spacing w:after="100" w:before="60"/>
      </w:pPr>
      <w:r>
        <w:rPr>
          <w:rFonts w:ascii="Arial" w:cs="Arial" w:eastAsia="Arial" w:hAnsi="Arial"/>
          <w:sz w:val="22"/>
          <w:szCs w:val="22"/>
        </w:rPr>
        <w:t xml:space="preserve">All safeguarding concerns, disclosures, referrals, and actions taken must be recorded in writing. Records must be:</w:t>
      </w:r>
    </w:p>
    <w:p>
      <w:pPr>
        <w:pStyle w:val="ListParagraph"/>
        <w:numPr>
          <w:ilvl w:val="0"/>
          <w:numId w:val="2"/>
        </w:numPr>
        <w:spacing w:after="40" w:before="40"/>
      </w:pPr>
      <w:r>
        <w:rPr>
          <w:rFonts w:ascii="Arial" w:cs="Arial" w:eastAsia="Arial" w:hAnsi="Arial"/>
          <w:sz w:val="22"/>
          <w:szCs w:val="22"/>
        </w:rPr>
        <w:t xml:space="preserve">Factual, accurate, and dated</w:t>
      </w:r>
    </w:p>
    <w:p>
      <w:pPr>
        <w:pStyle w:val="ListParagraph"/>
        <w:numPr>
          <w:ilvl w:val="0"/>
          <w:numId w:val="2"/>
        </w:numPr>
        <w:spacing w:after="40" w:before="40"/>
      </w:pPr>
      <w:r>
        <w:rPr>
          <w:rFonts w:ascii="Arial" w:cs="Arial" w:eastAsia="Arial" w:hAnsi="Arial"/>
          <w:sz w:val="22"/>
          <w:szCs w:val="22"/>
        </w:rPr>
        <w:t xml:space="preserve">Stored securely and accessibly only to those with a legitimate need</w:t>
      </w:r>
    </w:p>
    <w:p>
      <w:pPr>
        <w:pStyle w:val="ListParagraph"/>
        <w:numPr>
          <w:ilvl w:val="0"/>
          <w:numId w:val="2"/>
        </w:numPr>
        <w:spacing w:after="40" w:before="40"/>
      </w:pPr>
      <w:r>
        <w:rPr>
          <w:rFonts w:ascii="Arial" w:cs="Arial" w:eastAsia="Arial" w:hAnsi="Arial"/>
          <w:sz w:val="22"/>
          <w:szCs w:val="22"/>
        </w:rPr>
        <w:t xml:space="preserve">Retained in accordance with TLSPH's Data Retention Policy and applicable legal requirements</w:t>
      </w:r>
    </w:p>
    <w:p>
      <w:pPr>
        <w:pStyle w:val="ListParagraph"/>
        <w:numPr>
          <w:ilvl w:val="0"/>
          <w:numId w:val="2"/>
        </w:numPr>
        <w:spacing w:after="40" w:before="40"/>
      </w:pPr>
      <w:r>
        <w:rPr>
          <w:rFonts w:ascii="Arial" w:cs="Arial" w:eastAsia="Arial" w:hAnsi="Arial"/>
          <w:sz w:val="22"/>
          <w:szCs w:val="22"/>
        </w:rPr>
        <w:t xml:space="preserve">Kept separately from general student records</w:t>
      </w:r>
    </w:p>
    <w:p>
      <w:pPr>
        <w:spacing w:after="80" w:before="0"/>
      </w:pPr>
      <w:r>
        <w:t xml:space="preserve"/>
      </w:r>
    </w:p>
    <w:p>
      <w:pPr>
        <w:spacing w:after="100" w:before="60"/>
      </w:pPr>
      <w:r>
        <w:rPr>
          <w:rFonts w:ascii="Arial" w:cs="Arial" w:eastAsia="Arial" w:hAnsi="Arial"/>
          <w:sz w:val="22"/>
          <w:szCs w:val="22"/>
        </w:rPr>
        <w:t xml:space="preserve">In the event that a student transfers or a matter is escalated externally, relevant records will be shared securely with the receiving body as required.</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12. Related Policies</w:t>
      </w:r>
    </w:p>
    <w:p>
      <w:pPr>
        <w:spacing w:after="100" w:before="60"/>
      </w:pPr>
      <w:r>
        <w:rPr>
          <w:rFonts w:ascii="Arial" w:cs="Arial" w:eastAsia="Arial" w:hAnsi="Arial"/>
          <w:sz w:val="22"/>
          <w:szCs w:val="22"/>
        </w:rPr>
        <w:t xml:space="preserve">This policy should be read alongside the following TLSPH policies:</w:t>
      </w:r>
    </w:p>
    <w:p>
      <w:pPr>
        <w:pStyle w:val="ListParagraph"/>
        <w:numPr>
          <w:ilvl w:val="0"/>
          <w:numId w:val="2"/>
        </w:numPr>
        <w:spacing w:after="40" w:before="40"/>
      </w:pPr>
      <w:r>
        <w:rPr>
          <w:rFonts w:ascii="Arial" w:cs="Arial" w:eastAsia="Arial" w:hAnsi="Arial"/>
          <w:sz w:val="22"/>
          <w:szCs w:val="22"/>
        </w:rPr>
        <w:t xml:space="preserve">Equality, Diversity &amp; Inclusion Policy</w:t>
      </w:r>
    </w:p>
    <w:p>
      <w:pPr>
        <w:pStyle w:val="ListParagraph"/>
        <w:numPr>
          <w:ilvl w:val="0"/>
          <w:numId w:val="2"/>
        </w:numPr>
        <w:spacing w:after="40" w:before="40"/>
      </w:pPr>
      <w:r>
        <w:rPr>
          <w:rFonts w:ascii="Arial" w:cs="Arial" w:eastAsia="Arial" w:hAnsi="Arial"/>
          <w:sz w:val="22"/>
          <w:szCs w:val="22"/>
        </w:rPr>
        <w:t xml:space="preserve">Student Wellbeing &amp; Support Policy</w:t>
      </w:r>
    </w:p>
    <w:p>
      <w:pPr>
        <w:pStyle w:val="ListParagraph"/>
        <w:numPr>
          <w:ilvl w:val="0"/>
          <w:numId w:val="2"/>
        </w:numPr>
        <w:spacing w:after="40" w:before="40"/>
      </w:pPr>
      <w:r>
        <w:rPr>
          <w:rFonts w:ascii="Arial" w:cs="Arial" w:eastAsia="Arial" w:hAnsi="Arial"/>
          <w:sz w:val="22"/>
          <w:szCs w:val="22"/>
        </w:rPr>
        <w:t xml:space="preserve">Data Protection Policy (UK GDPR)</w:t>
      </w:r>
    </w:p>
    <w:p>
      <w:pPr>
        <w:pStyle w:val="ListParagraph"/>
        <w:numPr>
          <w:ilvl w:val="0"/>
          <w:numId w:val="2"/>
        </w:numPr>
        <w:spacing w:after="40" w:before="40"/>
      </w:pPr>
      <w:r>
        <w:rPr>
          <w:rFonts w:ascii="Arial" w:cs="Arial" w:eastAsia="Arial" w:hAnsi="Arial"/>
          <w:sz w:val="22"/>
          <w:szCs w:val="22"/>
        </w:rPr>
        <w:t xml:space="preserve">Data Retention Policy</w:t>
      </w:r>
    </w:p>
    <w:p>
      <w:pPr>
        <w:pStyle w:val="ListParagraph"/>
        <w:numPr>
          <w:ilvl w:val="0"/>
          <w:numId w:val="2"/>
        </w:numPr>
        <w:spacing w:after="40" w:before="40"/>
      </w:pPr>
      <w:r>
        <w:rPr>
          <w:rFonts w:ascii="Arial" w:cs="Arial" w:eastAsia="Arial" w:hAnsi="Arial"/>
          <w:sz w:val="22"/>
          <w:szCs w:val="22"/>
        </w:rPr>
        <w:t xml:space="preserve">Recruitment &amp; Selection Policy</w:t>
      </w:r>
    </w:p>
    <w:p>
      <w:pPr>
        <w:pStyle w:val="ListParagraph"/>
        <w:numPr>
          <w:ilvl w:val="0"/>
          <w:numId w:val="2"/>
        </w:numPr>
        <w:spacing w:after="40" w:before="40"/>
      </w:pPr>
      <w:r>
        <w:rPr>
          <w:rFonts w:ascii="Arial" w:cs="Arial" w:eastAsia="Arial" w:hAnsi="Arial"/>
          <w:sz w:val="22"/>
          <w:szCs w:val="22"/>
        </w:rPr>
        <w:t xml:space="preserve">Student Complaints &amp; Appeals Policy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13. Contact</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Safeguarding Concerns (internal)</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safeguarding@thelondonschoolofpublichealth.com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General Enquiries</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info@thelondonschoolofpublichealth.com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Designated Safeguarding Lead</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Role-holder confirmed internally — contact via safeguarding email above</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Emergency</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Call 999 if a person is in immediate danger</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NSPCC Helpline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0808 800 5000 (for concerns about a child)</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Adult Social Care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Contact your local authority Adult Social Care team</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200"/>
            </w:tcMar>
          </w:tcPr>
          <w:p>
            <w:pPr>
              <w:spacing w:after="40" w:before="40"/>
            </w:pPr>
            <w:r>
              <w:rPr>
                <w:rFonts w:ascii="Arial" w:cs="Arial" w:eastAsia="Arial" w:hAnsi="Arial"/>
                <w:b/>
                <w:bCs/>
                <w:color w:val="1B3A6B"/>
                <w:sz w:val="20"/>
                <w:szCs w:val="20"/>
              </w:rPr>
              <w:t xml:space="preserve">Policy Review</w:t>
            </w:r>
          </w:p>
          <w:p>
            <w:pPr>
              <w:spacing w:after="20" w:before="20"/>
            </w:pPr>
            <w:r>
              <w:rPr>
                <w:rFonts w:ascii="Arial" w:cs="Arial" w:eastAsia="Arial" w:hAnsi="Arial"/>
                <w:sz w:val="19"/>
                <w:szCs w:val="19"/>
              </w:rPr>
              <w:t xml:space="preserve">This policy is reviewed annually by the Senior Leadership Team, or sooner in response to changes in legislation, statutory guidance, or following a significant safeguarding incident. All staff will be notified of material updates.</w:t>
            </w:r>
          </w:p>
          <w:p>
            <w:pPr>
              <w:spacing w:after="40" w:before="20"/>
            </w:pPr>
            <w:r>
              <w:rPr>
                <w:rFonts w:ascii="Arial" w:cs="Arial" w:eastAsia="Arial" w:hAnsi="Arial"/>
                <w:i/>
                <w:iCs/>
                <w:color w:val="555555"/>
                <w:sz w:val="19"/>
                <w:szCs w:val="19"/>
              </w:rPr>
              <w:t xml:space="preserve">Last Reviewed: September 2025   |   Next Review Due: September 2026   |   Version: 1.0</w:t>
            </w:r>
          </w:p>
        </w:tc>
      </w:tr>
    </w:tbl>
    <w:sectPr>
      <w:headerReference w:type="default" r:id="rId7"/>
      <w:footerReference w:type="default" r:id="rId8"/>
      <w:pgSz w:w="11906" w:h="16838" w:orient="portrait"/>
      <w:pgMar w:top="10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pPr>
    <w:r>
      <w:rPr>
        <w:rFonts w:ascii="Arial" w:cs="Arial" w:eastAsia="Arial" w:hAnsi="Arial"/>
        <w:color w:val="888888"/>
        <w:sz w:val="16"/>
        <w:szCs w:val="16"/>
      </w:rPr>
      <w:t xml:space="preserve">Safeguarding Policy  |  TLSPH LTD  |  www.thelondonschoolofpublichealth.com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6"/>
      </w:pBdr>
      <w:spacing w:after="0"/>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 cy="762000"/>
                  </a:xfrm>
                  <a:prstGeom prst="rect">
                    <a:avLst/>
                  </a:prstGeom>
                </pic:spPr>
              </pic:pic>
            </a:graphicData>
          </a:graphic>
        </wp:inline>
      </w:drawing>
    </w:r>
    <w:r>
      <w:rPr>
        <w:rFonts w:ascii="Arial" w:cs="Arial" w:eastAsia="Arial" w:hAnsi="Arial"/>
        <w:b/>
        <w:bCs/>
        <w:color w:val="1B3A6B"/>
        <w:sz w:val="26"/>
        <w:szCs w:val="26"/>
      </w:rPr>
      <w:t xml:space="preserve">   The London School of Public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ebd6c7edc75df80b4fa770f3527f7c6290e27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2026-05-11T14:22:19.594Z</dcterms:created>
  <dcterms:modified xsi:type="dcterms:W3CDTF">2026-05-11T14:22:19.594Z</dcterms:modified>
</cp:coreProperties>
</file>

<file path=docProps/custom.xml><?xml version="1.0" encoding="utf-8"?>
<Properties xmlns="http://schemas.openxmlformats.org/officeDocument/2006/custom-properties" xmlns:vt="http://schemas.openxmlformats.org/officeDocument/2006/docPropsVTypes"/>
</file>