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457F7" w14:textId="77777777" w:rsidR="00EE534C" w:rsidRDefault="00EE534C">
      <w:pPr>
        <w:spacing w:after="80"/>
      </w:pPr>
    </w:p>
    <w:p w14:paraId="5D7F69A8" w14:textId="77777777" w:rsidR="00EE534C" w:rsidRDefault="00000000">
      <w:pPr>
        <w:spacing w:before="80" w:after="40"/>
      </w:pPr>
      <w:r>
        <w:rPr>
          <w:b/>
          <w:bCs/>
          <w:color w:val="1B3A6B"/>
          <w:sz w:val="46"/>
          <w:szCs w:val="46"/>
        </w:rPr>
        <w:t>Staff Code of Conduct</w:t>
      </w:r>
    </w:p>
    <w:p w14:paraId="7C054472" w14:textId="77777777" w:rsidR="00EE534C" w:rsidRDefault="00000000">
      <w:pPr>
        <w:pBdr>
          <w:bottom w:val="single" w:sz="8" w:space="4" w:color="2E75B6"/>
        </w:pBdr>
        <w:spacing w:after="200"/>
      </w:pPr>
      <w:r>
        <w:rPr>
          <w:color w:val="555555"/>
        </w:rPr>
        <w:t>TLSPH LTD  |  The London School of Public Health</w:t>
      </w:r>
    </w:p>
    <w:p w14:paraId="711FB143" w14:textId="77777777" w:rsidR="00EE534C" w:rsidRDefault="00EE534C">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EE534C" w14:paraId="23377D71"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67E04E40" w14:textId="77777777" w:rsidR="00EE534C" w:rsidRDefault="00000000">
            <w:r>
              <w:rPr>
                <w:b/>
                <w:bCs/>
                <w:color w:val="1B3A6B"/>
                <w:sz w:val="20"/>
                <w:szCs w:val="20"/>
              </w:rPr>
              <w:t>Policy Reference</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2326D148" w14:textId="77777777" w:rsidR="00EE534C" w:rsidRDefault="00000000">
            <w:r>
              <w:rPr>
                <w:sz w:val="20"/>
                <w:szCs w:val="20"/>
              </w:rPr>
              <w:t>TLSPH-POL-016</w:t>
            </w:r>
          </w:p>
        </w:tc>
      </w:tr>
    </w:tbl>
    <w:p w14:paraId="22D41A11" w14:textId="77777777" w:rsidR="00EE534C" w:rsidRDefault="00EE534C">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EE534C" w14:paraId="016CB494"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3DF8B2A0" w14:textId="77777777" w:rsidR="00EE534C" w:rsidRDefault="00000000">
            <w:r>
              <w:rPr>
                <w:b/>
                <w:bCs/>
                <w:color w:val="1B3A6B"/>
                <w:sz w:val="20"/>
                <w:szCs w:val="20"/>
              </w:rPr>
              <w:t>Version</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08E983AA" w14:textId="77777777" w:rsidR="00EE534C" w:rsidRDefault="00000000">
            <w:r>
              <w:rPr>
                <w:sz w:val="20"/>
                <w:szCs w:val="20"/>
              </w:rPr>
              <w:t>1.0</w:t>
            </w:r>
          </w:p>
        </w:tc>
      </w:tr>
    </w:tbl>
    <w:p w14:paraId="42583E7F" w14:textId="77777777" w:rsidR="00EE534C" w:rsidRDefault="00EE534C">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EE534C" w14:paraId="6AFC9FC6"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4E6278D6" w14:textId="77777777" w:rsidR="00EE534C" w:rsidRDefault="00000000">
            <w:r>
              <w:rPr>
                <w:b/>
                <w:bCs/>
                <w:color w:val="1B3A6B"/>
                <w:sz w:val="20"/>
                <w:szCs w:val="20"/>
              </w:rPr>
              <w:t>Date Issued</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32C281DC" w14:textId="77777777" w:rsidR="00EE534C" w:rsidRDefault="00000000">
            <w:r>
              <w:rPr>
                <w:sz w:val="20"/>
                <w:szCs w:val="20"/>
              </w:rPr>
              <w:t>May 2026</w:t>
            </w:r>
          </w:p>
        </w:tc>
      </w:tr>
    </w:tbl>
    <w:p w14:paraId="788A5A60" w14:textId="77777777" w:rsidR="00EE534C" w:rsidRDefault="00EE534C">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EE534C" w14:paraId="53B6E2D3"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6EBA00FE" w14:textId="77777777" w:rsidR="00EE534C" w:rsidRDefault="00000000">
            <w:r>
              <w:rPr>
                <w:b/>
                <w:bCs/>
                <w:color w:val="1B3A6B"/>
                <w:sz w:val="20"/>
                <w:szCs w:val="20"/>
              </w:rPr>
              <w:t>Next Review Date</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70C514AB" w14:textId="77777777" w:rsidR="00EE534C" w:rsidRDefault="00000000">
            <w:r>
              <w:rPr>
                <w:sz w:val="20"/>
                <w:szCs w:val="20"/>
              </w:rPr>
              <w:t>May 2027</w:t>
            </w:r>
          </w:p>
        </w:tc>
      </w:tr>
    </w:tbl>
    <w:p w14:paraId="2A28987D" w14:textId="77777777" w:rsidR="00EE534C" w:rsidRDefault="00EE534C">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EE534C" w14:paraId="091D985C"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726EB319" w14:textId="77777777" w:rsidR="00EE534C" w:rsidRDefault="00000000">
            <w:r>
              <w:rPr>
                <w:b/>
                <w:bCs/>
                <w:color w:val="1B3A6B"/>
                <w:sz w:val="20"/>
                <w:szCs w:val="20"/>
              </w:rPr>
              <w:t>Policy Owner</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1BD9AF0F" w14:textId="77777777" w:rsidR="00EE534C" w:rsidRDefault="00000000">
            <w:r>
              <w:rPr>
                <w:sz w:val="20"/>
                <w:szCs w:val="20"/>
              </w:rPr>
              <w:t>Senior Leadership Team</w:t>
            </w:r>
          </w:p>
        </w:tc>
      </w:tr>
    </w:tbl>
    <w:p w14:paraId="4F6AC6F4" w14:textId="77777777" w:rsidR="00EE534C" w:rsidRDefault="00EE534C">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EE534C" w14:paraId="3CFFF4F6"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4E5F6E0F" w14:textId="77777777" w:rsidR="00EE534C" w:rsidRDefault="00000000">
            <w:r>
              <w:rPr>
                <w:b/>
                <w:bCs/>
                <w:color w:val="1B3A6B"/>
                <w:sz w:val="20"/>
                <w:szCs w:val="20"/>
              </w:rPr>
              <w:t>Applies To</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3E0E131C" w14:textId="77777777" w:rsidR="00EE534C" w:rsidRDefault="00000000">
            <w:r>
              <w:rPr>
                <w:sz w:val="20"/>
                <w:szCs w:val="20"/>
              </w:rPr>
              <w:t>All staff, tutors, contractors and volunteers engaged by TLSPH LTD</w:t>
            </w:r>
          </w:p>
        </w:tc>
      </w:tr>
    </w:tbl>
    <w:p w14:paraId="42654866" w14:textId="77777777" w:rsidR="00EE534C" w:rsidRDefault="00EE534C">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EE534C" w14:paraId="3E45C8BE"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42975263" w14:textId="77777777" w:rsidR="00EE534C" w:rsidRDefault="00000000">
            <w:r>
              <w:rPr>
                <w:b/>
                <w:bCs/>
                <w:color w:val="1B3A6B"/>
                <w:sz w:val="20"/>
                <w:szCs w:val="20"/>
              </w:rPr>
              <w:t>UK Legislative Framework</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424077EE" w14:textId="77777777" w:rsidR="00EE534C" w:rsidRDefault="00000000">
            <w:r>
              <w:rPr>
                <w:sz w:val="20"/>
                <w:szCs w:val="20"/>
              </w:rPr>
              <w:t>Employment Rights Act 1996 | Equality Act 2010 | Protection from Harassment Act 1997 | Health and Safety at Work etc. Act 1974 | Bribery Act 2010 | UK General Data Protection Regulation (UK GDPR) | Data Protection Act 2018 | Computer Misuse Act 1990 | Safeguarding Vulnerable Groups Act 2006 | Keeping Children Safe in Education (KCSIE) 2023 | ACAS Code of Practice on Disciplinary Procedures</w:t>
            </w:r>
          </w:p>
        </w:tc>
      </w:tr>
    </w:tbl>
    <w:p w14:paraId="1632EE5A" w14:textId="77777777" w:rsidR="00EE534C" w:rsidRDefault="00EE534C">
      <w:pPr>
        <w:spacing w:after="80"/>
      </w:pPr>
    </w:p>
    <w:p w14:paraId="3AEEB78E" w14:textId="77777777" w:rsidR="00EE534C" w:rsidRDefault="00EE534C">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EE534C" w14:paraId="72158993" w14:textId="77777777">
        <w:tblPrEx>
          <w:tblCellMar>
            <w:top w:w="0" w:type="dxa"/>
            <w:bottom w:w="0" w:type="dxa"/>
          </w:tblCellMar>
        </w:tblPrEx>
        <w:tc>
          <w:tcPr>
            <w:tcW w:w="9026" w:type="dxa"/>
            <w:tcBorders>
              <w:top w:val="single" w:sz="1" w:space="0" w:color="CCCCCC"/>
              <w:left w:val="single" w:sz="1" w:space="0" w:color="CCCCCC"/>
              <w:bottom w:val="single" w:sz="1" w:space="0" w:color="CCCCCC"/>
              <w:right w:val="single" w:sz="1" w:space="0" w:color="CCCCCC"/>
            </w:tcBorders>
            <w:shd w:val="clear" w:color="auto" w:fill="EAF7EF"/>
            <w:tcMar>
              <w:top w:w="120" w:type="dxa"/>
              <w:left w:w="200" w:type="dxa"/>
              <w:bottom w:w="120" w:type="dxa"/>
              <w:right w:w="200" w:type="dxa"/>
            </w:tcMar>
          </w:tcPr>
          <w:p w14:paraId="730499A6" w14:textId="77777777" w:rsidR="00EE534C" w:rsidRDefault="00000000">
            <w:pPr>
              <w:spacing w:after="60"/>
            </w:pPr>
            <w:r>
              <w:rPr>
                <w:b/>
                <w:bCs/>
                <w:color w:val="1A7A4A"/>
                <w:sz w:val="21"/>
                <w:szCs w:val="21"/>
              </w:rPr>
              <w:t>Our Standards</w:t>
            </w:r>
          </w:p>
          <w:p w14:paraId="1287780F" w14:textId="77777777" w:rsidR="00EE534C" w:rsidRDefault="00000000">
            <w:pPr>
              <w:spacing w:before="10" w:after="10"/>
            </w:pPr>
            <w:r>
              <w:rPr>
                <w:sz w:val="20"/>
                <w:szCs w:val="20"/>
              </w:rPr>
              <w:t>TLSPH LTD expects all staff, tutors, and contractors to conduct themselves professionally, honestly, and with respect for colleagues, students, and stakeholders at all times. This Code of Conduct sets out the standards TLSPH expects and the consequences of falling short.</w:t>
            </w:r>
          </w:p>
        </w:tc>
      </w:tr>
    </w:tbl>
    <w:p w14:paraId="3F4BBA19" w14:textId="77777777" w:rsidR="00EE534C" w:rsidRDefault="00EE534C">
      <w:pPr>
        <w:spacing w:after="80"/>
      </w:pPr>
    </w:p>
    <w:p w14:paraId="572F27EC" w14:textId="77777777" w:rsidR="00EE534C" w:rsidRDefault="00000000">
      <w:pPr>
        <w:pBdr>
          <w:bottom w:val="single" w:sz="6" w:space="4" w:color="2E75B6"/>
        </w:pBdr>
        <w:spacing w:before="320" w:after="120"/>
      </w:pPr>
      <w:r>
        <w:rPr>
          <w:b/>
          <w:bCs/>
          <w:color w:val="1B3A6B"/>
          <w:sz w:val="28"/>
          <w:szCs w:val="28"/>
        </w:rPr>
        <w:t>1. Purpose and Scope</w:t>
      </w:r>
    </w:p>
    <w:p w14:paraId="471B7694" w14:textId="77777777" w:rsidR="00EE534C" w:rsidRDefault="00000000">
      <w:pPr>
        <w:spacing w:before="60" w:after="100"/>
      </w:pPr>
      <w:r>
        <w:t>This Code sets out the standards of professional behaviour expected of all individuals working for or on behalf of TLSPH LTD, including employees, tutors, contractors, and volunteers. It applies to all work-related activities, including online interactions with students and colleagues.</w:t>
      </w:r>
    </w:p>
    <w:p w14:paraId="03A0F08C" w14:textId="77777777" w:rsidR="00EE534C" w:rsidRDefault="00EE534C">
      <w:pPr>
        <w:spacing w:after="80"/>
      </w:pPr>
    </w:p>
    <w:p w14:paraId="5038EA19" w14:textId="77777777" w:rsidR="00EE534C" w:rsidRDefault="00000000">
      <w:pPr>
        <w:pBdr>
          <w:bottom w:val="single" w:sz="6" w:space="4" w:color="2E75B6"/>
        </w:pBdr>
        <w:spacing w:before="320" w:after="120"/>
      </w:pPr>
      <w:r>
        <w:rPr>
          <w:b/>
          <w:bCs/>
          <w:color w:val="1B3A6B"/>
          <w:sz w:val="28"/>
          <w:szCs w:val="28"/>
        </w:rPr>
        <w:t>2. Professional Standards</w:t>
      </w:r>
    </w:p>
    <w:p w14:paraId="3279A69C" w14:textId="77777777" w:rsidR="00EE534C" w:rsidRDefault="00000000">
      <w:pPr>
        <w:spacing w:before="220" w:after="80"/>
      </w:pPr>
      <w:r>
        <w:rPr>
          <w:b/>
          <w:bCs/>
          <w:color w:val="2E75B6"/>
          <w:sz w:val="24"/>
          <w:szCs w:val="24"/>
        </w:rPr>
        <w:t>2.1 Integrity and Honesty</w:t>
      </w:r>
    </w:p>
    <w:p w14:paraId="7FF98D3A" w14:textId="77777777" w:rsidR="00EE534C" w:rsidRDefault="00000000">
      <w:pPr>
        <w:pStyle w:val="ListParagraph"/>
        <w:numPr>
          <w:ilvl w:val="0"/>
          <w:numId w:val="2"/>
        </w:numPr>
        <w:spacing w:before="40" w:after="40"/>
      </w:pPr>
      <w:r>
        <w:t>Act with integrity and honesty in all professional dealings</w:t>
      </w:r>
    </w:p>
    <w:p w14:paraId="23ABF31E" w14:textId="77777777" w:rsidR="00EE534C" w:rsidRDefault="00000000">
      <w:pPr>
        <w:pStyle w:val="ListParagraph"/>
        <w:numPr>
          <w:ilvl w:val="0"/>
          <w:numId w:val="2"/>
        </w:numPr>
        <w:spacing w:before="40" w:after="40"/>
      </w:pPr>
      <w:r>
        <w:t>Not misrepresent qualifications, experience, or TLSPH capabilities</w:t>
      </w:r>
    </w:p>
    <w:p w14:paraId="169A81EB" w14:textId="77777777" w:rsidR="00EE534C" w:rsidRDefault="00000000">
      <w:pPr>
        <w:pStyle w:val="ListParagraph"/>
        <w:numPr>
          <w:ilvl w:val="0"/>
          <w:numId w:val="2"/>
        </w:numPr>
        <w:spacing w:before="40" w:after="40"/>
      </w:pPr>
      <w:r>
        <w:lastRenderedPageBreak/>
        <w:t>Declare any conflict of interest per the Conflicts of Interest Policy (TLSPH-POL-013)</w:t>
      </w:r>
    </w:p>
    <w:p w14:paraId="4076DACE" w14:textId="77777777" w:rsidR="00EE534C" w:rsidRDefault="00000000">
      <w:pPr>
        <w:pStyle w:val="ListParagraph"/>
        <w:numPr>
          <w:ilvl w:val="0"/>
          <w:numId w:val="2"/>
        </w:numPr>
        <w:spacing w:before="40" w:after="40"/>
      </w:pPr>
      <w:r>
        <w:t>Not use a TLSPH position for personal gain at others' expense</w:t>
      </w:r>
    </w:p>
    <w:p w14:paraId="2AB4E0C9" w14:textId="77777777" w:rsidR="00EE534C" w:rsidRDefault="00000000">
      <w:pPr>
        <w:pStyle w:val="ListParagraph"/>
        <w:numPr>
          <w:ilvl w:val="0"/>
          <w:numId w:val="2"/>
        </w:numPr>
        <w:spacing w:before="40" w:after="40"/>
      </w:pPr>
      <w:r>
        <w:t>Comply with the Anti-Bribery &amp; Corruption Policy (TLSPH-POL-011) at all times</w:t>
      </w:r>
    </w:p>
    <w:p w14:paraId="78205196" w14:textId="77777777" w:rsidR="00EE534C" w:rsidRDefault="00000000">
      <w:pPr>
        <w:spacing w:before="220" w:after="80"/>
      </w:pPr>
      <w:r>
        <w:rPr>
          <w:b/>
          <w:bCs/>
          <w:color w:val="2E75B6"/>
          <w:sz w:val="24"/>
          <w:szCs w:val="24"/>
        </w:rPr>
        <w:t>2.2 Respect and Dignity</w:t>
      </w:r>
    </w:p>
    <w:p w14:paraId="0AE6EE24" w14:textId="77777777" w:rsidR="00EE534C" w:rsidRDefault="00000000">
      <w:pPr>
        <w:pStyle w:val="ListParagraph"/>
        <w:numPr>
          <w:ilvl w:val="0"/>
          <w:numId w:val="2"/>
        </w:numPr>
        <w:spacing w:before="40" w:after="40"/>
      </w:pPr>
      <w:r>
        <w:t>Treat all colleagues, students, and stakeholders with dignity and respect regardless of protected characteristic</w:t>
      </w:r>
    </w:p>
    <w:p w14:paraId="584A9E4A" w14:textId="77777777" w:rsidR="00EE534C" w:rsidRDefault="00000000">
      <w:pPr>
        <w:pStyle w:val="ListParagraph"/>
        <w:numPr>
          <w:ilvl w:val="0"/>
          <w:numId w:val="2"/>
        </w:numPr>
        <w:spacing w:before="40" w:after="40"/>
      </w:pPr>
      <w:r>
        <w:t>Not engage in, encourage, or tolerate bullying, harassment, or discrimination per the Equality Act 2010</w:t>
      </w:r>
    </w:p>
    <w:p w14:paraId="41A75419" w14:textId="77777777" w:rsidR="00EE534C" w:rsidRDefault="00000000">
      <w:pPr>
        <w:pStyle w:val="ListParagraph"/>
        <w:numPr>
          <w:ilvl w:val="0"/>
          <w:numId w:val="2"/>
        </w:numPr>
        <w:spacing w:before="40" w:after="40"/>
      </w:pPr>
      <w:r>
        <w:t>Use professional, respectful language in all communications including email, video calls, and the learning platform</w:t>
      </w:r>
    </w:p>
    <w:p w14:paraId="4B522D68" w14:textId="77777777" w:rsidR="00EE534C" w:rsidRDefault="00000000">
      <w:pPr>
        <w:pStyle w:val="ListParagraph"/>
        <w:numPr>
          <w:ilvl w:val="0"/>
          <w:numId w:val="2"/>
        </w:numPr>
        <w:spacing w:before="40" w:after="40"/>
      </w:pPr>
      <w:r>
        <w:t>Challenge and report discriminatory behaviour or language</w:t>
      </w:r>
    </w:p>
    <w:p w14:paraId="2AA4BEF5" w14:textId="77777777" w:rsidR="00EE534C" w:rsidRDefault="00000000">
      <w:pPr>
        <w:spacing w:before="220" w:after="80"/>
      </w:pPr>
      <w:r>
        <w:rPr>
          <w:b/>
          <w:bCs/>
          <w:color w:val="2E75B6"/>
          <w:sz w:val="24"/>
          <w:szCs w:val="24"/>
        </w:rPr>
        <w:t>2.3 Professionalism in the Learning Environment</w:t>
      </w:r>
    </w:p>
    <w:p w14:paraId="0D3E7E1F" w14:textId="77777777" w:rsidR="00EE534C" w:rsidRDefault="00000000">
      <w:pPr>
        <w:spacing w:before="60" w:after="100"/>
      </w:pPr>
      <w:r>
        <w:t>Tutors and assessors are additionally expected to:</w:t>
      </w:r>
    </w:p>
    <w:p w14:paraId="317918D2" w14:textId="77777777" w:rsidR="00EE534C" w:rsidRDefault="00000000">
      <w:pPr>
        <w:pStyle w:val="ListParagraph"/>
        <w:numPr>
          <w:ilvl w:val="0"/>
          <w:numId w:val="2"/>
        </w:numPr>
        <w:spacing w:before="40" w:after="40"/>
      </w:pPr>
      <w:r>
        <w:t>Deliver sessions and feedback to a high professional standard and treat all students equitably</w:t>
      </w:r>
    </w:p>
    <w:p w14:paraId="0DB9F48D" w14:textId="77777777" w:rsidR="00EE534C" w:rsidRDefault="00000000">
      <w:pPr>
        <w:pStyle w:val="ListParagraph"/>
        <w:numPr>
          <w:ilvl w:val="0"/>
          <w:numId w:val="2"/>
        </w:numPr>
        <w:spacing w:before="40" w:after="40"/>
      </w:pPr>
      <w:r>
        <w:t>Maintain appropriate professional boundaries with students and not enter into personal or romantic relationships with them</w:t>
      </w:r>
    </w:p>
    <w:p w14:paraId="31E78AE8" w14:textId="77777777" w:rsidR="00EE534C" w:rsidRDefault="00000000">
      <w:pPr>
        <w:pStyle w:val="ListParagraph"/>
        <w:numPr>
          <w:ilvl w:val="0"/>
          <w:numId w:val="2"/>
        </w:numPr>
        <w:spacing w:before="40" w:after="40"/>
      </w:pPr>
      <w:r>
        <w:t>Report any concern about a student's welfare immediately to the Designated Safeguarding Lead</w:t>
      </w:r>
    </w:p>
    <w:p w14:paraId="1AC8BD47" w14:textId="77777777" w:rsidR="00EE534C" w:rsidRDefault="00000000">
      <w:pPr>
        <w:pStyle w:val="ListParagraph"/>
        <w:numPr>
          <w:ilvl w:val="0"/>
          <w:numId w:val="2"/>
        </w:numPr>
        <w:spacing w:before="40" w:after="40"/>
      </w:pPr>
      <w:r>
        <w:t>Not discuss or share student information with unauthorised individuals</w:t>
      </w:r>
    </w:p>
    <w:p w14:paraId="2211FBDA" w14:textId="77777777" w:rsidR="00EE534C" w:rsidRDefault="00EE534C">
      <w:pPr>
        <w:spacing w:after="80"/>
      </w:pPr>
    </w:p>
    <w:p w14:paraId="26F7905F" w14:textId="77777777" w:rsidR="00EE534C" w:rsidRDefault="00000000">
      <w:pPr>
        <w:pBdr>
          <w:bottom w:val="single" w:sz="6" w:space="4" w:color="2E75B6"/>
        </w:pBdr>
        <w:spacing w:before="320" w:after="120"/>
      </w:pPr>
      <w:r>
        <w:rPr>
          <w:b/>
          <w:bCs/>
          <w:color w:val="1B3A6B"/>
          <w:sz w:val="28"/>
          <w:szCs w:val="28"/>
        </w:rPr>
        <w:t>3. Safeguarding</w:t>
      </w:r>
    </w:p>
    <w:p w14:paraId="026A4C81" w14:textId="77777777" w:rsidR="00EE534C" w:rsidRDefault="00000000">
      <w:pPr>
        <w:spacing w:before="60" w:after="100"/>
      </w:pPr>
      <w:r>
        <w:t>All staff share responsibility for safeguarding students, including those who may be under 18 or vulnerable adults. Staff must:</w:t>
      </w:r>
    </w:p>
    <w:p w14:paraId="4305A8FC" w14:textId="77777777" w:rsidR="00EE534C" w:rsidRDefault="00000000">
      <w:pPr>
        <w:pStyle w:val="ListParagraph"/>
        <w:numPr>
          <w:ilvl w:val="0"/>
          <w:numId w:val="2"/>
        </w:numPr>
        <w:spacing w:before="40" w:after="40"/>
      </w:pPr>
      <w:r>
        <w:t>Complete safeguarding training at induction and as required thereafter</w:t>
      </w:r>
    </w:p>
    <w:p w14:paraId="4B30A743" w14:textId="77777777" w:rsidR="00EE534C" w:rsidRDefault="00000000">
      <w:pPr>
        <w:pStyle w:val="ListParagraph"/>
        <w:numPr>
          <w:ilvl w:val="0"/>
          <w:numId w:val="2"/>
        </w:numPr>
        <w:spacing w:before="40" w:after="40"/>
      </w:pPr>
      <w:r>
        <w:t>Report any safeguarding concern immediately to the Designated Safeguarding Lead per the Safeguarding Policy (TLSPH-POL-003)</w:t>
      </w:r>
    </w:p>
    <w:p w14:paraId="248D8C69" w14:textId="77777777" w:rsidR="00EE534C" w:rsidRDefault="00000000">
      <w:pPr>
        <w:pStyle w:val="ListParagraph"/>
        <w:numPr>
          <w:ilvl w:val="0"/>
          <w:numId w:val="2"/>
        </w:numPr>
        <w:spacing w:before="40" w:after="40"/>
      </w:pPr>
      <w:r>
        <w:t>Not make promises of confidentiality to a disclosing student</w:t>
      </w:r>
    </w:p>
    <w:p w14:paraId="65504E2A" w14:textId="77777777" w:rsidR="00EE534C" w:rsidRDefault="00000000">
      <w:pPr>
        <w:pStyle w:val="ListParagraph"/>
        <w:numPr>
          <w:ilvl w:val="0"/>
          <w:numId w:val="2"/>
        </w:numPr>
        <w:spacing w:before="40" w:after="40"/>
      </w:pPr>
      <w:r>
        <w:t>Not investigate safeguarding concerns themselves</w:t>
      </w:r>
    </w:p>
    <w:p w14:paraId="54D3A009" w14:textId="77777777" w:rsidR="00EE534C" w:rsidRDefault="00000000">
      <w:pPr>
        <w:pStyle w:val="ListParagraph"/>
        <w:numPr>
          <w:ilvl w:val="0"/>
          <w:numId w:val="2"/>
        </w:numPr>
        <w:spacing w:before="40" w:after="40"/>
      </w:pPr>
      <w:r>
        <w:t>Comply with Keeping Children Safe in Education (KCSIE) 2023 guidance where relevant</w:t>
      </w:r>
    </w:p>
    <w:p w14:paraId="55AF5FFF" w14:textId="77777777" w:rsidR="00EE534C" w:rsidRDefault="00EE534C">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EE534C" w14:paraId="02E19E07" w14:textId="77777777">
        <w:tblPrEx>
          <w:tblCellMar>
            <w:top w:w="0" w:type="dxa"/>
            <w:bottom w:w="0" w:type="dxa"/>
          </w:tblCellMar>
        </w:tblPrEx>
        <w:tc>
          <w:tcPr>
            <w:tcW w:w="9026" w:type="dxa"/>
            <w:tcBorders>
              <w:top w:val="single" w:sz="1" w:space="0" w:color="CCCCCC"/>
              <w:left w:val="single" w:sz="1" w:space="0" w:color="CCCCCC"/>
              <w:bottom w:val="single" w:sz="1" w:space="0" w:color="CCCCCC"/>
              <w:right w:val="single" w:sz="1" w:space="0" w:color="CCCCCC"/>
            </w:tcBorders>
            <w:shd w:val="clear" w:color="auto" w:fill="FEF9F0"/>
            <w:tcMar>
              <w:top w:w="120" w:type="dxa"/>
              <w:left w:w="200" w:type="dxa"/>
              <w:bottom w:w="120" w:type="dxa"/>
              <w:right w:w="200" w:type="dxa"/>
            </w:tcMar>
          </w:tcPr>
          <w:p w14:paraId="4402949A" w14:textId="77777777" w:rsidR="00EE534C" w:rsidRDefault="00000000">
            <w:pPr>
              <w:spacing w:after="60"/>
            </w:pPr>
            <w:r>
              <w:rPr>
                <w:b/>
                <w:bCs/>
                <w:color w:val="D4720A"/>
                <w:sz w:val="21"/>
                <w:szCs w:val="21"/>
              </w:rPr>
              <w:t>Online Safeguarding</w:t>
            </w:r>
          </w:p>
          <w:p w14:paraId="320B9F0E" w14:textId="77777777" w:rsidR="00EE534C" w:rsidRDefault="00000000">
            <w:pPr>
              <w:spacing w:before="10" w:after="10"/>
            </w:pPr>
            <w:r>
              <w:rPr>
                <w:sz w:val="20"/>
                <w:szCs w:val="20"/>
              </w:rPr>
              <w:t>Staff must not communicate with students via personal social media or messaging services. All one-to-one contact must use TLSPH-approved platforms and, where students under 18 are involved, must be recorded where possible and appropriate.</w:t>
            </w:r>
          </w:p>
        </w:tc>
      </w:tr>
    </w:tbl>
    <w:p w14:paraId="24782007" w14:textId="77777777" w:rsidR="00EE534C" w:rsidRDefault="00EE534C">
      <w:pPr>
        <w:spacing w:after="80"/>
      </w:pPr>
    </w:p>
    <w:p w14:paraId="2F7169D7" w14:textId="77777777" w:rsidR="00EE534C" w:rsidRDefault="00000000">
      <w:pPr>
        <w:pBdr>
          <w:bottom w:val="single" w:sz="6" w:space="4" w:color="2E75B6"/>
        </w:pBdr>
        <w:spacing w:before="320" w:after="120"/>
      </w:pPr>
      <w:r>
        <w:rPr>
          <w:b/>
          <w:bCs/>
          <w:color w:val="1B3A6B"/>
          <w:sz w:val="28"/>
          <w:szCs w:val="28"/>
        </w:rPr>
        <w:t>4. Data Protection and Confidentiality</w:t>
      </w:r>
    </w:p>
    <w:p w14:paraId="2CF6178D" w14:textId="77777777" w:rsidR="00EE534C" w:rsidRDefault="00000000">
      <w:pPr>
        <w:pStyle w:val="ListParagraph"/>
        <w:numPr>
          <w:ilvl w:val="0"/>
          <w:numId w:val="2"/>
        </w:numPr>
        <w:spacing w:before="40" w:after="40"/>
      </w:pPr>
      <w:r>
        <w:t>Handle personal data per UK GDPR, Data Protection Act 2018, and the TLSPH Data Protection Policy (TLSPH-POL-014)</w:t>
      </w:r>
    </w:p>
    <w:p w14:paraId="77F249C5" w14:textId="77777777" w:rsidR="00EE534C" w:rsidRDefault="00000000">
      <w:pPr>
        <w:pStyle w:val="ListParagraph"/>
        <w:numPr>
          <w:ilvl w:val="0"/>
          <w:numId w:val="2"/>
        </w:numPr>
        <w:spacing w:before="40" w:after="40"/>
      </w:pPr>
      <w:r>
        <w:t>Not access, share, or use personal data beyond what is required for the role</w:t>
      </w:r>
    </w:p>
    <w:p w14:paraId="25050AB2" w14:textId="77777777" w:rsidR="00EE534C" w:rsidRDefault="00000000">
      <w:pPr>
        <w:pStyle w:val="ListParagraph"/>
        <w:numPr>
          <w:ilvl w:val="0"/>
          <w:numId w:val="2"/>
        </w:numPr>
        <w:spacing w:before="40" w:after="40"/>
      </w:pPr>
      <w:r>
        <w:t>Report any suspected data breach to the Senior Leadership Team immediately</w:t>
      </w:r>
    </w:p>
    <w:p w14:paraId="4D781984" w14:textId="77777777" w:rsidR="00EE534C" w:rsidRDefault="00000000">
      <w:pPr>
        <w:pStyle w:val="ListParagraph"/>
        <w:numPr>
          <w:ilvl w:val="0"/>
          <w:numId w:val="2"/>
        </w:numPr>
        <w:spacing w:before="40" w:after="40"/>
      </w:pPr>
      <w:r>
        <w:lastRenderedPageBreak/>
        <w:t>Maintain confidentiality of student records, assessment materials, and commercially sensitive information</w:t>
      </w:r>
    </w:p>
    <w:p w14:paraId="1377C867" w14:textId="77777777" w:rsidR="00EE534C" w:rsidRDefault="00EE534C">
      <w:pPr>
        <w:spacing w:after="80"/>
      </w:pPr>
    </w:p>
    <w:p w14:paraId="754FDD06" w14:textId="77777777" w:rsidR="00EE534C" w:rsidRDefault="00000000">
      <w:pPr>
        <w:pBdr>
          <w:bottom w:val="single" w:sz="6" w:space="4" w:color="2E75B6"/>
        </w:pBdr>
        <w:spacing w:before="320" w:after="120"/>
      </w:pPr>
      <w:r>
        <w:rPr>
          <w:b/>
          <w:bCs/>
          <w:color w:val="1B3A6B"/>
          <w:sz w:val="28"/>
          <w:szCs w:val="28"/>
        </w:rPr>
        <w:t>5. Use of IT, Systems and Social Media</w:t>
      </w:r>
    </w:p>
    <w:p w14:paraId="13DF2592" w14:textId="77777777" w:rsidR="00EE534C" w:rsidRDefault="00000000">
      <w:pPr>
        <w:spacing w:before="220" w:after="80"/>
      </w:pPr>
      <w:r>
        <w:rPr>
          <w:b/>
          <w:bCs/>
          <w:color w:val="2E75B6"/>
          <w:sz w:val="24"/>
          <w:szCs w:val="24"/>
        </w:rPr>
        <w:t>5.1 IT and Systems</w:t>
      </w:r>
    </w:p>
    <w:p w14:paraId="72B10536" w14:textId="77777777" w:rsidR="00EE534C" w:rsidRDefault="00000000">
      <w:pPr>
        <w:pStyle w:val="ListParagraph"/>
        <w:numPr>
          <w:ilvl w:val="0"/>
          <w:numId w:val="2"/>
        </w:numPr>
        <w:spacing w:before="40" w:after="40"/>
      </w:pPr>
      <w:r>
        <w:t>Use TLSPH systems for legitimate work purposes only</w:t>
      </w:r>
    </w:p>
    <w:p w14:paraId="0C21EB25" w14:textId="77777777" w:rsidR="00EE534C" w:rsidRDefault="00000000">
      <w:pPr>
        <w:pStyle w:val="ListParagraph"/>
        <w:numPr>
          <w:ilvl w:val="0"/>
          <w:numId w:val="2"/>
        </w:numPr>
        <w:spacing w:before="40" w:after="40"/>
      </w:pPr>
      <w:r>
        <w:t>Not access, download, or distribute inappropriate, offensive, or unlawful content</w:t>
      </w:r>
    </w:p>
    <w:p w14:paraId="0C46AE1B" w14:textId="77777777" w:rsidR="00EE534C" w:rsidRDefault="00000000">
      <w:pPr>
        <w:pStyle w:val="ListParagraph"/>
        <w:numPr>
          <w:ilvl w:val="0"/>
          <w:numId w:val="2"/>
        </w:numPr>
        <w:spacing w:before="40" w:after="40"/>
      </w:pPr>
      <w:r>
        <w:t>Not attempt to circumvent security controls or access systems without authorisation, per the Computer Misuse Act 1990</w:t>
      </w:r>
    </w:p>
    <w:p w14:paraId="0E91F61D" w14:textId="77777777" w:rsidR="00EE534C" w:rsidRDefault="00000000">
      <w:pPr>
        <w:pStyle w:val="ListParagraph"/>
        <w:numPr>
          <w:ilvl w:val="0"/>
          <w:numId w:val="2"/>
        </w:numPr>
        <w:spacing w:before="40" w:after="40"/>
      </w:pPr>
      <w:r>
        <w:t>Keep passwords and access credentials secure</w:t>
      </w:r>
    </w:p>
    <w:p w14:paraId="109B61C6" w14:textId="77777777" w:rsidR="00EE534C" w:rsidRDefault="00000000">
      <w:pPr>
        <w:spacing w:before="220" w:after="80"/>
      </w:pPr>
      <w:r>
        <w:rPr>
          <w:b/>
          <w:bCs/>
          <w:color w:val="2E75B6"/>
          <w:sz w:val="24"/>
          <w:szCs w:val="24"/>
        </w:rPr>
        <w:t>5.2 Social Media</w:t>
      </w:r>
    </w:p>
    <w:p w14:paraId="340294FD" w14:textId="77777777" w:rsidR="00EE534C" w:rsidRDefault="00000000">
      <w:pPr>
        <w:pStyle w:val="ListParagraph"/>
        <w:numPr>
          <w:ilvl w:val="0"/>
          <w:numId w:val="2"/>
        </w:numPr>
        <w:spacing w:before="40" w:after="40"/>
      </w:pPr>
      <w:r>
        <w:t>Not post content that could damage TLSPH's reputation or constitute harassment</w:t>
      </w:r>
    </w:p>
    <w:p w14:paraId="621A8041" w14:textId="77777777" w:rsidR="00EE534C" w:rsidRDefault="00000000">
      <w:pPr>
        <w:pStyle w:val="ListParagraph"/>
        <w:numPr>
          <w:ilvl w:val="0"/>
          <w:numId w:val="2"/>
        </w:numPr>
        <w:spacing w:before="40" w:after="40"/>
      </w:pPr>
      <w:r>
        <w:t>Not share confidential information about TLSPH, students, or staff on social media</w:t>
      </w:r>
    </w:p>
    <w:p w14:paraId="2DB72F5B" w14:textId="77777777" w:rsidR="00EE534C" w:rsidRDefault="00000000">
      <w:pPr>
        <w:pStyle w:val="ListParagraph"/>
        <w:numPr>
          <w:ilvl w:val="0"/>
          <w:numId w:val="2"/>
        </w:numPr>
        <w:spacing w:before="40" w:after="40"/>
      </w:pPr>
      <w:r>
        <w:t>Not present personal views in a way that could be mistaken for TLSPH's official position</w:t>
      </w:r>
    </w:p>
    <w:p w14:paraId="67A0858E" w14:textId="77777777" w:rsidR="00EE534C" w:rsidRDefault="00000000">
      <w:pPr>
        <w:pStyle w:val="ListParagraph"/>
        <w:numPr>
          <w:ilvl w:val="0"/>
          <w:numId w:val="2"/>
        </w:numPr>
        <w:spacing w:before="40" w:after="40"/>
      </w:pPr>
      <w:r>
        <w:t>Not contact students through personal social media accounts</w:t>
      </w:r>
    </w:p>
    <w:p w14:paraId="14308E14" w14:textId="77777777" w:rsidR="00EE534C" w:rsidRDefault="00EE534C">
      <w:pPr>
        <w:spacing w:after="80"/>
      </w:pPr>
    </w:p>
    <w:p w14:paraId="25C7418D" w14:textId="77777777" w:rsidR="00EE534C" w:rsidRDefault="00000000">
      <w:pPr>
        <w:pBdr>
          <w:bottom w:val="single" w:sz="6" w:space="4" w:color="2E75B6"/>
        </w:pBdr>
        <w:spacing w:before="320" w:after="120"/>
      </w:pPr>
      <w:r>
        <w:rPr>
          <w:b/>
          <w:bCs/>
          <w:color w:val="1B3A6B"/>
          <w:sz w:val="28"/>
          <w:szCs w:val="28"/>
        </w:rPr>
        <w:t>6. Financial Conduct</w:t>
      </w:r>
    </w:p>
    <w:p w14:paraId="682A7F1C" w14:textId="77777777" w:rsidR="00EE534C" w:rsidRDefault="00000000">
      <w:pPr>
        <w:pStyle w:val="ListParagraph"/>
        <w:numPr>
          <w:ilvl w:val="0"/>
          <w:numId w:val="2"/>
        </w:numPr>
        <w:spacing w:before="40" w:after="40"/>
      </w:pPr>
      <w:r>
        <w:t>Manage TLSPH resources honestly and within delegated authority</w:t>
      </w:r>
    </w:p>
    <w:p w14:paraId="415B3A8D" w14:textId="77777777" w:rsidR="00EE534C" w:rsidRDefault="00000000">
      <w:pPr>
        <w:pStyle w:val="ListParagraph"/>
        <w:numPr>
          <w:ilvl w:val="0"/>
          <w:numId w:val="2"/>
        </w:numPr>
        <w:spacing w:before="40" w:after="40"/>
      </w:pPr>
      <w:r>
        <w:t>Report financial irregularity or suspected fraud via the Whistleblowing Policy (TLSPH-POL-012)</w:t>
      </w:r>
    </w:p>
    <w:p w14:paraId="63E203D8" w14:textId="77777777" w:rsidR="00EE534C" w:rsidRDefault="00000000">
      <w:pPr>
        <w:pStyle w:val="ListParagraph"/>
        <w:numPr>
          <w:ilvl w:val="0"/>
          <w:numId w:val="2"/>
        </w:numPr>
        <w:spacing w:before="40" w:after="40"/>
      </w:pPr>
      <w:r>
        <w:t>Comply with the Anti-Bribery &amp; Corruption Policy (TLSPH-POL-011) in all external dealings</w:t>
      </w:r>
    </w:p>
    <w:p w14:paraId="70BA6064" w14:textId="77777777" w:rsidR="00EE534C" w:rsidRDefault="00EE534C">
      <w:pPr>
        <w:spacing w:after="80"/>
      </w:pPr>
    </w:p>
    <w:p w14:paraId="3910BDE3" w14:textId="77777777" w:rsidR="00EE534C" w:rsidRDefault="00000000">
      <w:pPr>
        <w:pBdr>
          <w:bottom w:val="single" w:sz="6" w:space="4" w:color="2E75B6"/>
        </w:pBdr>
        <w:spacing w:before="320" w:after="120"/>
      </w:pPr>
      <w:r>
        <w:rPr>
          <w:b/>
          <w:bCs/>
          <w:color w:val="1B3A6B"/>
          <w:sz w:val="28"/>
          <w:szCs w:val="28"/>
        </w:rPr>
        <w:t>7. Health, Safety and Wellbeing</w:t>
      </w:r>
    </w:p>
    <w:p w14:paraId="5251741F" w14:textId="77777777" w:rsidR="00EE534C" w:rsidRDefault="00000000">
      <w:pPr>
        <w:pStyle w:val="ListParagraph"/>
        <w:numPr>
          <w:ilvl w:val="0"/>
          <w:numId w:val="2"/>
        </w:numPr>
        <w:spacing w:before="40" w:after="40"/>
      </w:pPr>
      <w:r>
        <w:t>Take reasonable care of personal health and safety and that of others</w:t>
      </w:r>
    </w:p>
    <w:p w14:paraId="19E0AE1E" w14:textId="77777777" w:rsidR="00EE534C" w:rsidRDefault="00000000">
      <w:pPr>
        <w:pStyle w:val="ListParagraph"/>
        <w:numPr>
          <w:ilvl w:val="0"/>
          <w:numId w:val="2"/>
        </w:numPr>
        <w:spacing w:before="40" w:after="40"/>
      </w:pPr>
      <w:r>
        <w:t>Report any health and safety concern per the Health &amp; Safety Policy (TLSPH-POL-010)</w:t>
      </w:r>
    </w:p>
    <w:p w14:paraId="5B847B1B" w14:textId="77777777" w:rsidR="00EE534C" w:rsidRDefault="00000000">
      <w:pPr>
        <w:pStyle w:val="ListParagraph"/>
        <w:numPr>
          <w:ilvl w:val="0"/>
          <w:numId w:val="2"/>
        </w:numPr>
        <w:spacing w:before="40" w:after="40"/>
      </w:pPr>
      <w:r>
        <w:t>Not work when fitness to do so is impaired in a way that could cause risk</w:t>
      </w:r>
    </w:p>
    <w:p w14:paraId="04739C38" w14:textId="77777777" w:rsidR="00EE534C" w:rsidRDefault="00EE534C">
      <w:pPr>
        <w:spacing w:after="80"/>
      </w:pPr>
    </w:p>
    <w:p w14:paraId="623CC8EA" w14:textId="77777777" w:rsidR="00EE534C" w:rsidRDefault="00000000">
      <w:pPr>
        <w:pBdr>
          <w:bottom w:val="single" w:sz="6" w:space="4" w:color="2E75B6"/>
        </w:pBdr>
        <w:spacing w:before="320" w:after="120"/>
      </w:pPr>
      <w:r>
        <w:rPr>
          <w:b/>
          <w:bCs/>
          <w:color w:val="1B3A6B"/>
          <w:sz w:val="28"/>
          <w:szCs w:val="28"/>
        </w:rPr>
        <w:t>8. Outside Employment and Personal Interests</w:t>
      </w:r>
    </w:p>
    <w:p w14:paraId="50F4982B" w14:textId="77777777" w:rsidR="00EE534C" w:rsidRDefault="00000000">
      <w:pPr>
        <w:spacing w:before="60" w:after="100"/>
      </w:pPr>
      <w:r>
        <w:t>Staff may undertake outside employment provided that activities do not conflict with TLSPH obligations, any conflict is declared per TLSPH-POL-013, TLSPH resources are not used, and direct competitor work has prior written approval from the Senior Leadership Team.</w:t>
      </w:r>
    </w:p>
    <w:p w14:paraId="527E7752" w14:textId="77777777" w:rsidR="00EE534C" w:rsidRDefault="00EE534C">
      <w:pPr>
        <w:spacing w:after="80"/>
      </w:pPr>
    </w:p>
    <w:p w14:paraId="58B46C7D" w14:textId="77777777" w:rsidR="00EE534C" w:rsidRDefault="00000000">
      <w:pPr>
        <w:pBdr>
          <w:bottom w:val="single" w:sz="6" w:space="4" w:color="2E75B6"/>
        </w:pBdr>
        <w:spacing w:before="320" w:after="120"/>
      </w:pPr>
      <w:r>
        <w:rPr>
          <w:b/>
          <w:bCs/>
          <w:color w:val="1B3A6B"/>
          <w:sz w:val="28"/>
          <w:szCs w:val="28"/>
        </w:rPr>
        <w:t>9. Breach of This Code</w:t>
      </w:r>
    </w:p>
    <w:p w14:paraId="1CB2E03D" w14:textId="77777777" w:rsidR="00EE534C" w:rsidRDefault="00000000">
      <w:pPr>
        <w:spacing w:before="60" w:after="100"/>
      </w:pPr>
      <w:r>
        <w:t>Breaches will be handled proportionately and may include:</w:t>
      </w:r>
    </w:p>
    <w:p w14:paraId="15513C0F" w14:textId="77777777" w:rsidR="00EE534C" w:rsidRDefault="00000000">
      <w:pPr>
        <w:pStyle w:val="ListParagraph"/>
        <w:numPr>
          <w:ilvl w:val="0"/>
          <w:numId w:val="2"/>
        </w:numPr>
        <w:spacing w:before="40" w:after="40"/>
      </w:pPr>
      <w:r>
        <w:t>Informal management guidance for minor or first-time breaches</w:t>
      </w:r>
    </w:p>
    <w:p w14:paraId="6879D241" w14:textId="77777777" w:rsidR="00EE534C" w:rsidRDefault="00000000">
      <w:pPr>
        <w:pStyle w:val="ListParagraph"/>
        <w:numPr>
          <w:ilvl w:val="0"/>
          <w:numId w:val="2"/>
        </w:numPr>
        <w:spacing w:before="40" w:after="40"/>
      </w:pPr>
      <w:r>
        <w:lastRenderedPageBreak/>
        <w:t>Formal disciplinary action up to and including summary dismissal for gross misconduct</w:t>
      </w:r>
    </w:p>
    <w:p w14:paraId="2483FA68" w14:textId="77777777" w:rsidR="00EE534C" w:rsidRDefault="00000000">
      <w:pPr>
        <w:pStyle w:val="ListParagraph"/>
        <w:numPr>
          <w:ilvl w:val="0"/>
          <w:numId w:val="2"/>
        </w:numPr>
        <w:spacing w:before="40" w:after="40"/>
      </w:pPr>
      <w:r>
        <w:t>Referral to the DBS where a child or vulnerable adult is at risk</w:t>
      </w:r>
    </w:p>
    <w:p w14:paraId="762A25BE" w14:textId="77777777" w:rsidR="00EE534C" w:rsidRDefault="00000000">
      <w:pPr>
        <w:pStyle w:val="ListParagraph"/>
        <w:numPr>
          <w:ilvl w:val="0"/>
          <w:numId w:val="2"/>
        </w:numPr>
        <w:spacing w:before="40" w:after="40"/>
      </w:pPr>
      <w:r>
        <w:t>Referral to a professional regulatory body or the police where appropriate</w:t>
      </w:r>
    </w:p>
    <w:p w14:paraId="49F6F28B" w14:textId="77777777" w:rsidR="00EE534C" w:rsidRDefault="00EE534C">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EE534C" w14:paraId="3F6EB906" w14:textId="77777777">
        <w:tblPrEx>
          <w:tblCellMar>
            <w:top w:w="0" w:type="dxa"/>
            <w:bottom w:w="0" w:type="dxa"/>
          </w:tblCellMar>
        </w:tblPrEx>
        <w:tc>
          <w:tcPr>
            <w:tcW w:w="9026" w:type="dxa"/>
            <w:tcBorders>
              <w:top w:val="single" w:sz="1" w:space="0" w:color="CCCCCC"/>
              <w:left w:val="single" w:sz="1" w:space="0" w:color="CCCCCC"/>
              <w:bottom w:val="single" w:sz="1" w:space="0" w:color="CCCCCC"/>
              <w:right w:val="single" w:sz="1" w:space="0" w:color="CCCCCC"/>
            </w:tcBorders>
            <w:shd w:val="clear" w:color="auto" w:fill="FDEDEC"/>
            <w:tcMar>
              <w:top w:w="120" w:type="dxa"/>
              <w:left w:w="200" w:type="dxa"/>
              <w:bottom w:w="120" w:type="dxa"/>
              <w:right w:w="200" w:type="dxa"/>
            </w:tcMar>
          </w:tcPr>
          <w:p w14:paraId="21C3968A" w14:textId="77777777" w:rsidR="00EE534C" w:rsidRDefault="00000000">
            <w:pPr>
              <w:spacing w:after="60"/>
            </w:pPr>
            <w:r>
              <w:rPr>
                <w:b/>
                <w:bCs/>
                <w:color w:val="C0392B"/>
                <w:sz w:val="21"/>
                <w:szCs w:val="21"/>
              </w:rPr>
              <w:t>Gross Misconduct Examples</w:t>
            </w:r>
          </w:p>
          <w:p w14:paraId="6772F004" w14:textId="77777777" w:rsidR="00EE534C" w:rsidRDefault="00000000">
            <w:pPr>
              <w:spacing w:before="10" w:after="10"/>
            </w:pPr>
            <w:r>
              <w:rPr>
                <w:sz w:val="20"/>
                <w:szCs w:val="20"/>
              </w:rPr>
              <w:t>Physical or sexual assault; serious harassment or bullying; safeguarding breaches; fraud or theft; serious data protection breaches; being under the influence of alcohol or illegal substances during work; serious misuse of IT systems; deliberate falsification of records or qualifications.</w:t>
            </w:r>
          </w:p>
        </w:tc>
      </w:tr>
    </w:tbl>
    <w:p w14:paraId="15BCE06B" w14:textId="77777777" w:rsidR="00EE534C" w:rsidRDefault="00EE534C">
      <w:pPr>
        <w:spacing w:after="80"/>
      </w:pPr>
    </w:p>
    <w:p w14:paraId="09FA160E" w14:textId="77777777" w:rsidR="00EE534C" w:rsidRDefault="00000000">
      <w:pPr>
        <w:pBdr>
          <w:bottom w:val="single" w:sz="6" w:space="4" w:color="2E75B6"/>
        </w:pBdr>
        <w:spacing w:before="320" w:after="120"/>
      </w:pPr>
      <w:r>
        <w:rPr>
          <w:b/>
          <w:bCs/>
          <w:color w:val="1B3A6B"/>
          <w:sz w:val="28"/>
          <w:szCs w:val="28"/>
        </w:rPr>
        <w:t>10. Raising Concerns</w:t>
      </w:r>
    </w:p>
    <w:p w14:paraId="5A2CDEDE" w14:textId="77777777" w:rsidR="00EE534C" w:rsidRDefault="00000000">
      <w:pPr>
        <w:pStyle w:val="ListParagraph"/>
        <w:numPr>
          <w:ilvl w:val="0"/>
          <w:numId w:val="2"/>
        </w:numPr>
        <w:spacing w:before="40" w:after="40"/>
      </w:pPr>
      <w:r>
        <w:t>Safeguarding concerns — Designated Safeguarding Lead (TLSPH-POL-003)</w:t>
      </w:r>
    </w:p>
    <w:p w14:paraId="066EC4F1" w14:textId="77777777" w:rsidR="00EE534C" w:rsidRDefault="00000000">
      <w:pPr>
        <w:pStyle w:val="ListParagraph"/>
        <w:numPr>
          <w:ilvl w:val="0"/>
          <w:numId w:val="2"/>
        </w:numPr>
        <w:spacing w:before="40" w:after="40"/>
      </w:pPr>
      <w:r>
        <w:t>Colleague conduct concerns — Senior Leadership Team</w:t>
      </w:r>
    </w:p>
    <w:p w14:paraId="6286004E" w14:textId="77777777" w:rsidR="00EE534C" w:rsidRDefault="00000000">
      <w:pPr>
        <w:pStyle w:val="ListParagraph"/>
        <w:numPr>
          <w:ilvl w:val="0"/>
          <w:numId w:val="2"/>
        </w:numPr>
        <w:spacing w:before="40" w:after="40"/>
      </w:pPr>
      <w:r>
        <w:t>Serious wrongdoing — Whistleblowing Policy (TLSPH-POL-012)</w:t>
      </w:r>
    </w:p>
    <w:p w14:paraId="49C6975D" w14:textId="77777777" w:rsidR="00EE534C" w:rsidRDefault="00000000">
      <w:pPr>
        <w:pStyle w:val="ListParagraph"/>
        <w:numPr>
          <w:ilvl w:val="0"/>
          <w:numId w:val="2"/>
        </w:numPr>
        <w:spacing w:before="40" w:after="40"/>
      </w:pPr>
      <w:r>
        <w:t>Bribery or financial misconduct — Anti-Bribery &amp; Corruption Policy (TLSPH-POL-011)</w:t>
      </w:r>
    </w:p>
    <w:p w14:paraId="62A99B42" w14:textId="77777777" w:rsidR="00EE534C" w:rsidRDefault="00EE534C">
      <w:pPr>
        <w:spacing w:after="80"/>
      </w:pPr>
    </w:p>
    <w:p w14:paraId="1FB60FF7" w14:textId="77777777" w:rsidR="00EE534C" w:rsidRDefault="00000000">
      <w:pPr>
        <w:spacing w:before="60" w:after="100"/>
      </w:pPr>
      <w:r>
        <w:t>Staff will not suffer detriment for raising a genuine concern in good faith.</w:t>
      </w:r>
    </w:p>
    <w:p w14:paraId="268F3A2B" w14:textId="77777777" w:rsidR="00EE534C" w:rsidRDefault="00EE534C">
      <w:pPr>
        <w:spacing w:after="80"/>
      </w:pPr>
    </w:p>
    <w:p w14:paraId="5FB74961" w14:textId="77777777" w:rsidR="00EE534C" w:rsidRDefault="00000000">
      <w:pPr>
        <w:pBdr>
          <w:bottom w:val="single" w:sz="6" w:space="4" w:color="2E75B6"/>
        </w:pBdr>
        <w:spacing w:before="320" w:after="120"/>
      </w:pPr>
      <w:r>
        <w:rPr>
          <w:b/>
          <w:bCs/>
          <w:color w:val="1B3A6B"/>
          <w:sz w:val="28"/>
          <w:szCs w:val="28"/>
        </w:rPr>
        <w:t>11. Acknowledgement</w:t>
      </w:r>
    </w:p>
    <w:p w14:paraId="1586EC34" w14:textId="77777777" w:rsidR="00EE534C" w:rsidRDefault="00000000">
      <w:pPr>
        <w:spacing w:before="60" w:after="100"/>
      </w:pPr>
      <w:r>
        <w:t>All staff, tutors, and contractors must confirm they have read, understood, and agree to comply with this Code at the start of their engagement and following any material update. A signed acknowledgement will be retained on their personnel file.</w:t>
      </w:r>
    </w:p>
    <w:p w14:paraId="742031D2" w14:textId="77777777" w:rsidR="00EE534C" w:rsidRDefault="00EE534C">
      <w:pPr>
        <w:spacing w:after="80"/>
      </w:pPr>
    </w:p>
    <w:p w14:paraId="12244891" w14:textId="77777777" w:rsidR="00EE534C" w:rsidRDefault="00000000">
      <w:pPr>
        <w:pBdr>
          <w:bottom w:val="single" w:sz="6" w:space="4" w:color="2E75B6"/>
        </w:pBdr>
        <w:spacing w:before="320" w:after="120"/>
      </w:pPr>
      <w:r>
        <w:rPr>
          <w:b/>
          <w:bCs/>
          <w:color w:val="1B3A6B"/>
          <w:sz w:val="28"/>
          <w:szCs w:val="28"/>
        </w:rPr>
        <w:t>12. Related Policies</w:t>
      </w:r>
    </w:p>
    <w:p w14:paraId="15009F25" w14:textId="77777777" w:rsidR="00EE534C" w:rsidRDefault="00000000">
      <w:pPr>
        <w:pStyle w:val="ListParagraph"/>
        <w:numPr>
          <w:ilvl w:val="0"/>
          <w:numId w:val="2"/>
        </w:numPr>
        <w:spacing w:before="40" w:after="40"/>
      </w:pPr>
      <w:r>
        <w:t>Safeguarding Policy (TLSPH-POL-003)</w:t>
      </w:r>
    </w:p>
    <w:p w14:paraId="53E61852" w14:textId="77777777" w:rsidR="00EE534C" w:rsidRDefault="00000000">
      <w:pPr>
        <w:pStyle w:val="ListParagraph"/>
        <w:numPr>
          <w:ilvl w:val="0"/>
          <w:numId w:val="2"/>
        </w:numPr>
        <w:spacing w:before="40" w:after="40"/>
      </w:pPr>
      <w:r>
        <w:t>Equality, Diversity &amp; Inclusion Policy (TLSPH-POL-005)</w:t>
      </w:r>
    </w:p>
    <w:p w14:paraId="3D3FDF60" w14:textId="77777777" w:rsidR="00EE534C" w:rsidRDefault="00000000">
      <w:pPr>
        <w:pStyle w:val="ListParagraph"/>
        <w:numPr>
          <w:ilvl w:val="0"/>
          <w:numId w:val="2"/>
        </w:numPr>
        <w:spacing w:before="40" w:after="40"/>
      </w:pPr>
      <w:r>
        <w:t>Anti-Bribery &amp; Corruption Policy (TLSPH-POL-011)</w:t>
      </w:r>
    </w:p>
    <w:p w14:paraId="56693AB1" w14:textId="77777777" w:rsidR="00EE534C" w:rsidRDefault="00000000">
      <w:pPr>
        <w:pStyle w:val="ListParagraph"/>
        <w:numPr>
          <w:ilvl w:val="0"/>
          <w:numId w:val="2"/>
        </w:numPr>
        <w:spacing w:before="40" w:after="40"/>
      </w:pPr>
      <w:r>
        <w:t>Whistleblowing Policy (TLSPH-POL-012)</w:t>
      </w:r>
    </w:p>
    <w:p w14:paraId="1DFD89D2" w14:textId="77777777" w:rsidR="00EE534C" w:rsidRDefault="00000000">
      <w:pPr>
        <w:pStyle w:val="ListParagraph"/>
        <w:numPr>
          <w:ilvl w:val="0"/>
          <w:numId w:val="2"/>
        </w:numPr>
        <w:spacing w:before="40" w:after="40"/>
      </w:pPr>
      <w:r>
        <w:t>Conflicts of Interest Policy (TLSPH-POL-013)</w:t>
      </w:r>
    </w:p>
    <w:p w14:paraId="229CF7E3" w14:textId="77777777" w:rsidR="00EE534C" w:rsidRDefault="00000000">
      <w:pPr>
        <w:pStyle w:val="ListParagraph"/>
        <w:numPr>
          <w:ilvl w:val="0"/>
          <w:numId w:val="2"/>
        </w:numPr>
        <w:spacing w:before="40" w:after="40"/>
      </w:pPr>
      <w:r>
        <w:t>Data Protection Policy (TLSPH-POL-014)</w:t>
      </w:r>
    </w:p>
    <w:p w14:paraId="7ADE7496" w14:textId="77777777" w:rsidR="00EE534C" w:rsidRDefault="00000000">
      <w:pPr>
        <w:pStyle w:val="ListParagraph"/>
        <w:numPr>
          <w:ilvl w:val="0"/>
          <w:numId w:val="2"/>
        </w:numPr>
        <w:spacing w:before="40" w:after="40"/>
      </w:pPr>
      <w:r>
        <w:t>Recruitment &amp; Selection Policy (TLSPH-POL-015)</w:t>
      </w:r>
    </w:p>
    <w:p w14:paraId="432B9661" w14:textId="77777777" w:rsidR="00EE534C" w:rsidRDefault="00000000">
      <w:pPr>
        <w:pStyle w:val="ListParagraph"/>
        <w:numPr>
          <w:ilvl w:val="0"/>
          <w:numId w:val="2"/>
        </w:numPr>
        <w:spacing w:before="40" w:after="40"/>
      </w:pPr>
      <w:r>
        <w:t>Health &amp; Safety Policy (TLSPH-POL-010)</w:t>
      </w:r>
    </w:p>
    <w:p w14:paraId="7A34D2B0" w14:textId="77777777" w:rsidR="00EE534C" w:rsidRDefault="00EE534C">
      <w:pPr>
        <w:spacing w:after="80"/>
      </w:pPr>
    </w:p>
    <w:p w14:paraId="5783A6C4" w14:textId="77777777" w:rsidR="00EE534C" w:rsidRDefault="00000000">
      <w:pPr>
        <w:pBdr>
          <w:bottom w:val="single" w:sz="6" w:space="4" w:color="2E75B6"/>
        </w:pBdr>
        <w:spacing w:before="320" w:after="120"/>
      </w:pPr>
      <w:r>
        <w:rPr>
          <w:b/>
          <w:bCs/>
          <w:color w:val="1B3A6B"/>
          <w:sz w:val="28"/>
          <w:szCs w:val="28"/>
        </w:rPr>
        <w:t>13. Contact</w:t>
      </w:r>
    </w:p>
    <w:p w14:paraId="70A19EB8" w14:textId="77777777" w:rsidR="00EE534C" w:rsidRDefault="00EE534C">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EE534C" w14:paraId="1F1F36A3"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0352D9CE" w14:textId="77777777" w:rsidR="00EE534C" w:rsidRDefault="00000000">
            <w:r>
              <w:rPr>
                <w:b/>
                <w:bCs/>
                <w:color w:val="1B3A6B"/>
                <w:sz w:val="20"/>
                <w:szCs w:val="20"/>
              </w:rPr>
              <w:t>General Queries</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1C7A691D" w14:textId="77777777" w:rsidR="00EE534C" w:rsidRDefault="00000000">
            <w:r>
              <w:rPr>
                <w:sz w:val="20"/>
                <w:szCs w:val="20"/>
              </w:rPr>
              <w:t>info@thelondonschoolofpublichealth.com</w:t>
            </w:r>
          </w:p>
        </w:tc>
      </w:tr>
    </w:tbl>
    <w:p w14:paraId="0B7FBF12" w14:textId="77777777" w:rsidR="00EE534C" w:rsidRDefault="00EE534C">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EE534C" w14:paraId="6506CE12"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3ED1BD54" w14:textId="77777777" w:rsidR="00EE534C" w:rsidRDefault="00000000">
            <w:r>
              <w:rPr>
                <w:b/>
                <w:bCs/>
                <w:color w:val="1B3A6B"/>
                <w:sz w:val="20"/>
                <w:szCs w:val="20"/>
              </w:rPr>
              <w:t>Safeguarding</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0F59044E" w14:textId="77777777" w:rsidR="00EE534C" w:rsidRDefault="00000000">
            <w:r>
              <w:rPr>
                <w:sz w:val="20"/>
                <w:szCs w:val="20"/>
              </w:rPr>
              <w:t>safeguarding@thelondonschoolofpublichealth.com</w:t>
            </w:r>
          </w:p>
        </w:tc>
      </w:tr>
    </w:tbl>
    <w:p w14:paraId="511C690C" w14:textId="77777777" w:rsidR="00EE534C" w:rsidRDefault="00EE534C">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EE534C" w14:paraId="6011D18A"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49F6C966" w14:textId="77777777" w:rsidR="00EE534C" w:rsidRDefault="00000000">
            <w:r>
              <w:rPr>
                <w:b/>
                <w:bCs/>
                <w:color w:val="1B3A6B"/>
                <w:sz w:val="20"/>
                <w:szCs w:val="20"/>
              </w:rPr>
              <w:t>Whistleblowing</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1B99384E" w14:textId="77777777" w:rsidR="00EE534C" w:rsidRDefault="00000000">
            <w:r>
              <w:rPr>
                <w:sz w:val="20"/>
                <w:szCs w:val="20"/>
              </w:rPr>
              <w:t>whistleblowing@thelondonschoolofpublichealth.com</w:t>
            </w:r>
          </w:p>
        </w:tc>
      </w:tr>
    </w:tbl>
    <w:p w14:paraId="26A086BB" w14:textId="77777777" w:rsidR="00EE534C" w:rsidRDefault="00EE534C">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EE534C" w14:paraId="15934CAC"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775D877A" w14:textId="77777777" w:rsidR="00EE534C" w:rsidRDefault="00000000">
            <w:r>
              <w:rPr>
                <w:b/>
                <w:bCs/>
                <w:color w:val="1B3A6B"/>
                <w:sz w:val="20"/>
                <w:szCs w:val="20"/>
              </w:rPr>
              <w:t>ACAS</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5A234177" w14:textId="77777777" w:rsidR="00EE534C" w:rsidRDefault="00000000">
            <w:r>
              <w:rPr>
                <w:sz w:val="20"/>
                <w:szCs w:val="20"/>
              </w:rPr>
              <w:t>www.acas.org.uk  |  0300 123 1100</w:t>
            </w:r>
          </w:p>
        </w:tc>
      </w:tr>
    </w:tbl>
    <w:p w14:paraId="4EF11F2D" w14:textId="77777777" w:rsidR="00EE534C" w:rsidRDefault="00EE534C">
      <w:pPr>
        <w:spacing w:after="80"/>
      </w:pPr>
    </w:p>
    <w:p w14:paraId="1345E023" w14:textId="77777777" w:rsidR="00EE534C" w:rsidRDefault="00EE534C">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EE534C" w14:paraId="2B06F730" w14:textId="77777777">
        <w:tblPrEx>
          <w:tblCellMar>
            <w:top w:w="0" w:type="dxa"/>
            <w:bottom w:w="0" w:type="dxa"/>
          </w:tblCellMar>
        </w:tblPrEx>
        <w:tc>
          <w:tcPr>
            <w:tcW w:w="9026" w:type="dxa"/>
            <w:tcBorders>
              <w:top w:val="single" w:sz="1" w:space="0" w:color="CCCCCC"/>
              <w:left w:val="single" w:sz="1" w:space="0" w:color="CCCCCC"/>
              <w:bottom w:val="single" w:sz="1" w:space="0" w:color="CCCCCC"/>
              <w:right w:val="single" w:sz="1" w:space="0" w:color="CCCCCC"/>
            </w:tcBorders>
            <w:shd w:val="clear" w:color="auto" w:fill="D6E4F0"/>
            <w:tcMar>
              <w:top w:w="120" w:type="dxa"/>
              <w:left w:w="200" w:type="dxa"/>
              <w:bottom w:w="120" w:type="dxa"/>
              <w:right w:w="200" w:type="dxa"/>
            </w:tcMar>
          </w:tcPr>
          <w:p w14:paraId="7AB44992" w14:textId="77777777" w:rsidR="00EE534C" w:rsidRDefault="00000000">
            <w:pPr>
              <w:spacing w:before="40" w:after="40"/>
            </w:pPr>
            <w:r>
              <w:rPr>
                <w:b/>
                <w:bCs/>
                <w:color w:val="1B3A6B"/>
                <w:sz w:val="20"/>
                <w:szCs w:val="20"/>
              </w:rPr>
              <w:t>Policy Review</w:t>
            </w:r>
          </w:p>
          <w:p w14:paraId="71776258" w14:textId="77777777" w:rsidR="00EE534C" w:rsidRDefault="00000000">
            <w:pPr>
              <w:spacing w:before="20" w:after="20"/>
            </w:pPr>
            <w:r>
              <w:rPr>
                <w:sz w:val="19"/>
                <w:szCs w:val="19"/>
              </w:rPr>
              <w:t>Reviewed annually by the Senior Leadership Team to ensure compliance with the Equality Act 2010, Employment Rights Act 1996, KCSIE 2023, UK GDPR, and ACAS codes of practice. All staff will be notified of material updates and asked to re-confirm acknowledgement.</w:t>
            </w:r>
          </w:p>
          <w:p w14:paraId="0C04B100" w14:textId="77777777" w:rsidR="00EE534C" w:rsidRDefault="00000000">
            <w:pPr>
              <w:spacing w:before="20" w:after="40"/>
            </w:pPr>
            <w:r>
              <w:rPr>
                <w:i/>
                <w:iCs/>
                <w:color w:val="555555"/>
                <w:sz w:val="19"/>
                <w:szCs w:val="19"/>
              </w:rPr>
              <w:t>Last Reviewed: May 2026   |   Next Review Due: May 2027   |   Version: 1.0</w:t>
            </w:r>
          </w:p>
        </w:tc>
      </w:tr>
    </w:tbl>
    <w:p w14:paraId="4545AA07" w14:textId="77777777" w:rsidR="00C61463" w:rsidRDefault="00C61463"/>
    <w:sectPr w:rsidR="00C61463">
      <w:headerReference w:type="default" r:id="rId7"/>
      <w:footerReference w:type="default" r:id="rId8"/>
      <w:pgSz w:w="11906" w:h="16838"/>
      <w:pgMar w:top="1000" w:right="1200" w:bottom="1200" w:left="12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7F20F" w14:textId="77777777" w:rsidR="00C61463" w:rsidRDefault="00C61463">
      <w:r>
        <w:separator/>
      </w:r>
    </w:p>
  </w:endnote>
  <w:endnote w:type="continuationSeparator" w:id="0">
    <w:p w14:paraId="4945B7E2" w14:textId="77777777" w:rsidR="00C61463" w:rsidRDefault="00C61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2A035" w14:textId="77777777" w:rsidR="00EE534C" w:rsidRDefault="00000000">
    <w:pPr>
      <w:pBdr>
        <w:top w:val="single" w:sz="4" w:space="4" w:color="2E75B6"/>
      </w:pBdr>
      <w:spacing w:before="80"/>
    </w:pPr>
    <w:r>
      <w:rPr>
        <w:color w:val="888888"/>
        <w:sz w:val="16"/>
        <w:szCs w:val="16"/>
      </w:rPr>
      <w:t>Staff Code of Conduct  |  TLSPH LTD  |  www.thelondonschoolofpublichealth.com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C05C0" w14:textId="77777777" w:rsidR="00C61463" w:rsidRDefault="00C61463">
      <w:r>
        <w:separator/>
      </w:r>
    </w:p>
  </w:footnote>
  <w:footnote w:type="continuationSeparator" w:id="0">
    <w:p w14:paraId="789A726A" w14:textId="77777777" w:rsidR="00C61463" w:rsidRDefault="00C61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A0DFD" w14:textId="77777777" w:rsidR="00EE534C" w:rsidRDefault="00000000">
    <w:pPr>
      <w:pBdr>
        <w:bottom w:val="single" w:sz="6" w:space="6" w:color="2E75B6"/>
      </w:pBdr>
    </w:pPr>
    <w:r>
      <w:rPr>
        <w:noProof/>
      </w:rPr>
      <w:drawing>
        <wp:inline distT="0" distB="0" distL="0" distR="0" wp14:anchorId="1A970006" wp14:editId="2DE89CBB">
          <wp:extent cx="76200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762000" cy="762000"/>
                  </a:xfrm>
                  <a:prstGeom prst="rect">
                    <a:avLst/>
                  </a:prstGeom>
                </pic:spPr>
              </pic:pic>
            </a:graphicData>
          </a:graphic>
        </wp:inline>
      </w:drawing>
    </w:r>
    <w:r>
      <w:rPr>
        <w:b/>
        <w:bCs/>
        <w:color w:val="1B3A6B"/>
        <w:sz w:val="26"/>
        <w:szCs w:val="26"/>
      </w:rPr>
      <w:t xml:space="preserve">   The London School of Public Health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20C03"/>
    <w:multiLevelType w:val="hybridMultilevel"/>
    <w:tmpl w:val="1654154A"/>
    <w:lvl w:ilvl="0" w:tplc="1D72EFE4">
      <w:start w:val="1"/>
      <w:numFmt w:val="bullet"/>
      <w:lvlText w:val="•"/>
      <w:lvlJc w:val="left"/>
      <w:pPr>
        <w:ind w:left="720" w:hanging="360"/>
      </w:pPr>
    </w:lvl>
    <w:lvl w:ilvl="1" w:tplc="ACC827EC">
      <w:numFmt w:val="decimal"/>
      <w:lvlText w:val=""/>
      <w:lvlJc w:val="left"/>
    </w:lvl>
    <w:lvl w:ilvl="2" w:tplc="1536282A">
      <w:numFmt w:val="decimal"/>
      <w:lvlText w:val=""/>
      <w:lvlJc w:val="left"/>
    </w:lvl>
    <w:lvl w:ilvl="3" w:tplc="36BACE6A">
      <w:numFmt w:val="decimal"/>
      <w:lvlText w:val=""/>
      <w:lvlJc w:val="left"/>
    </w:lvl>
    <w:lvl w:ilvl="4" w:tplc="7744FE5E">
      <w:numFmt w:val="decimal"/>
      <w:lvlText w:val=""/>
      <w:lvlJc w:val="left"/>
    </w:lvl>
    <w:lvl w:ilvl="5" w:tplc="1BFE35BA">
      <w:numFmt w:val="decimal"/>
      <w:lvlText w:val=""/>
      <w:lvlJc w:val="left"/>
    </w:lvl>
    <w:lvl w:ilvl="6" w:tplc="A266D108">
      <w:numFmt w:val="decimal"/>
      <w:lvlText w:val=""/>
      <w:lvlJc w:val="left"/>
    </w:lvl>
    <w:lvl w:ilvl="7" w:tplc="C6AAF692">
      <w:numFmt w:val="decimal"/>
      <w:lvlText w:val=""/>
      <w:lvlJc w:val="left"/>
    </w:lvl>
    <w:lvl w:ilvl="8" w:tplc="CC92A3D8">
      <w:numFmt w:val="decimal"/>
      <w:lvlText w:val=""/>
      <w:lvlJc w:val="left"/>
    </w:lvl>
  </w:abstractNum>
  <w:abstractNum w:abstractNumId="1" w15:restartNumberingAfterBreak="0">
    <w:nsid w:val="6BAB5136"/>
    <w:multiLevelType w:val="hybridMultilevel"/>
    <w:tmpl w:val="B3D45F98"/>
    <w:lvl w:ilvl="0" w:tplc="DBE6BAC0">
      <w:start w:val="1"/>
      <w:numFmt w:val="decimal"/>
      <w:lvlText w:val="%1."/>
      <w:lvlJc w:val="left"/>
      <w:pPr>
        <w:ind w:left="720" w:hanging="360"/>
      </w:pPr>
    </w:lvl>
    <w:lvl w:ilvl="1" w:tplc="F9F487D0">
      <w:numFmt w:val="decimal"/>
      <w:lvlText w:val=""/>
      <w:lvlJc w:val="left"/>
    </w:lvl>
    <w:lvl w:ilvl="2" w:tplc="AA5E7494">
      <w:numFmt w:val="decimal"/>
      <w:lvlText w:val=""/>
      <w:lvlJc w:val="left"/>
    </w:lvl>
    <w:lvl w:ilvl="3" w:tplc="F340997C">
      <w:numFmt w:val="decimal"/>
      <w:lvlText w:val=""/>
      <w:lvlJc w:val="left"/>
    </w:lvl>
    <w:lvl w:ilvl="4" w:tplc="D7FEDC8C">
      <w:numFmt w:val="decimal"/>
      <w:lvlText w:val=""/>
      <w:lvlJc w:val="left"/>
    </w:lvl>
    <w:lvl w:ilvl="5" w:tplc="95B24EF8">
      <w:numFmt w:val="decimal"/>
      <w:lvlText w:val=""/>
      <w:lvlJc w:val="left"/>
    </w:lvl>
    <w:lvl w:ilvl="6" w:tplc="D4182040">
      <w:numFmt w:val="decimal"/>
      <w:lvlText w:val=""/>
      <w:lvlJc w:val="left"/>
    </w:lvl>
    <w:lvl w:ilvl="7" w:tplc="9C4A698C">
      <w:numFmt w:val="decimal"/>
      <w:lvlText w:val=""/>
      <w:lvlJc w:val="left"/>
    </w:lvl>
    <w:lvl w:ilvl="8" w:tplc="B028935A">
      <w:numFmt w:val="decimal"/>
      <w:lvlText w:val=""/>
      <w:lvlJc w:val="left"/>
    </w:lvl>
  </w:abstractNum>
  <w:abstractNum w:abstractNumId="2" w15:restartNumberingAfterBreak="0">
    <w:nsid w:val="73FF4E47"/>
    <w:multiLevelType w:val="hybridMultilevel"/>
    <w:tmpl w:val="800A782E"/>
    <w:lvl w:ilvl="0" w:tplc="E7E26EBA">
      <w:start w:val="1"/>
      <w:numFmt w:val="bullet"/>
      <w:lvlText w:val="●"/>
      <w:lvlJc w:val="left"/>
      <w:pPr>
        <w:ind w:left="720" w:hanging="360"/>
      </w:pPr>
    </w:lvl>
    <w:lvl w:ilvl="1" w:tplc="654235AA">
      <w:start w:val="1"/>
      <w:numFmt w:val="bullet"/>
      <w:lvlText w:val="○"/>
      <w:lvlJc w:val="left"/>
      <w:pPr>
        <w:ind w:left="1440" w:hanging="360"/>
      </w:pPr>
    </w:lvl>
    <w:lvl w:ilvl="2" w:tplc="289EA374">
      <w:start w:val="1"/>
      <w:numFmt w:val="bullet"/>
      <w:lvlText w:val="■"/>
      <w:lvlJc w:val="left"/>
      <w:pPr>
        <w:ind w:left="2160" w:hanging="360"/>
      </w:pPr>
    </w:lvl>
    <w:lvl w:ilvl="3" w:tplc="296C8DE6">
      <w:start w:val="1"/>
      <w:numFmt w:val="bullet"/>
      <w:lvlText w:val="●"/>
      <w:lvlJc w:val="left"/>
      <w:pPr>
        <w:ind w:left="2880" w:hanging="360"/>
      </w:pPr>
    </w:lvl>
    <w:lvl w:ilvl="4" w:tplc="2DEE4AFA">
      <w:start w:val="1"/>
      <w:numFmt w:val="bullet"/>
      <w:lvlText w:val="○"/>
      <w:lvlJc w:val="left"/>
      <w:pPr>
        <w:ind w:left="3600" w:hanging="360"/>
      </w:pPr>
    </w:lvl>
    <w:lvl w:ilvl="5" w:tplc="C5D4FFE2">
      <w:start w:val="1"/>
      <w:numFmt w:val="bullet"/>
      <w:lvlText w:val="■"/>
      <w:lvlJc w:val="left"/>
      <w:pPr>
        <w:ind w:left="4320" w:hanging="360"/>
      </w:pPr>
    </w:lvl>
    <w:lvl w:ilvl="6" w:tplc="144C1E8A">
      <w:start w:val="1"/>
      <w:numFmt w:val="bullet"/>
      <w:lvlText w:val="●"/>
      <w:lvlJc w:val="left"/>
      <w:pPr>
        <w:ind w:left="5040" w:hanging="360"/>
      </w:pPr>
    </w:lvl>
    <w:lvl w:ilvl="7" w:tplc="EC56380A">
      <w:start w:val="1"/>
      <w:numFmt w:val="bullet"/>
      <w:lvlText w:val="●"/>
      <w:lvlJc w:val="left"/>
      <w:pPr>
        <w:ind w:left="5760" w:hanging="360"/>
      </w:pPr>
    </w:lvl>
    <w:lvl w:ilvl="8" w:tplc="4AF407A6">
      <w:start w:val="1"/>
      <w:numFmt w:val="bullet"/>
      <w:lvlText w:val="●"/>
      <w:lvlJc w:val="left"/>
      <w:pPr>
        <w:ind w:left="6480" w:hanging="360"/>
      </w:pPr>
    </w:lvl>
  </w:abstractNum>
  <w:num w:numId="1" w16cid:durableId="330067295">
    <w:abstractNumId w:val="2"/>
    <w:lvlOverride w:ilvl="0">
      <w:startOverride w:val="1"/>
    </w:lvlOverride>
  </w:num>
  <w:num w:numId="2" w16cid:durableId="60476815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34C"/>
    <w:rsid w:val="00900636"/>
    <w:rsid w:val="00C61463"/>
    <w:rsid w:val="00EE53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0852F4C"/>
  <w15:docId w15:val="{8382D012-F72F-034D-B6F4-CD93FF714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1137</Words>
  <Characters>6485</Characters>
  <Application>Microsoft Office Word</Application>
  <DocSecurity>0</DocSecurity>
  <Lines>54</Lines>
  <Paragraphs>15</Paragraphs>
  <ScaleCrop>false</ScaleCrop>
  <Company/>
  <LinksUpToDate>false</LinksUpToDate>
  <CharactersWithSpaces>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Amina Dilmohamed</cp:lastModifiedBy>
  <cp:revision>2</cp:revision>
  <dcterms:created xsi:type="dcterms:W3CDTF">2026-05-11T17:25:00Z</dcterms:created>
  <dcterms:modified xsi:type="dcterms:W3CDTF">2026-05-11T17:25:00Z</dcterms:modified>
</cp:coreProperties>
</file>