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4DA2" w14:textId="77777777" w:rsidR="00A8174D" w:rsidRDefault="00A8174D">
      <w:pPr>
        <w:spacing w:after="80"/>
      </w:pPr>
    </w:p>
    <w:p w14:paraId="5703F773" w14:textId="77777777" w:rsidR="00A8174D" w:rsidRDefault="00000000">
      <w:pPr>
        <w:spacing w:before="80" w:after="40"/>
      </w:pPr>
      <w:r>
        <w:rPr>
          <w:b/>
          <w:bCs/>
          <w:color w:val="1B3A6B"/>
          <w:sz w:val="46"/>
          <w:szCs w:val="46"/>
        </w:rPr>
        <w:t>Whistleblowing Policy</w:t>
      </w:r>
    </w:p>
    <w:p w14:paraId="4E38C813" w14:textId="77777777" w:rsidR="00A8174D" w:rsidRDefault="00000000">
      <w:pPr>
        <w:pBdr>
          <w:bottom w:val="single" w:sz="8" w:space="4" w:color="2E75B6"/>
        </w:pBdr>
        <w:spacing w:after="200"/>
      </w:pPr>
      <w:r>
        <w:rPr>
          <w:color w:val="555555"/>
        </w:rPr>
        <w:t>TLSPH LTD  |  The London School of Public Health</w:t>
      </w:r>
    </w:p>
    <w:p w14:paraId="73605DD0"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17C9297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2FBD764" w14:textId="77777777" w:rsidR="00A8174D"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28307A6" w14:textId="77777777" w:rsidR="00A8174D" w:rsidRDefault="00000000">
            <w:r>
              <w:rPr>
                <w:sz w:val="20"/>
                <w:szCs w:val="20"/>
              </w:rPr>
              <w:t>TLSPH-POL-012</w:t>
            </w:r>
          </w:p>
        </w:tc>
      </w:tr>
    </w:tbl>
    <w:p w14:paraId="1B49BDD6"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7C135D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048644" w14:textId="77777777" w:rsidR="00A8174D"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39FE282" w14:textId="77777777" w:rsidR="00A8174D" w:rsidRDefault="00000000">
            <w:r>
              <w:rPr>
                <w:sz w:val="20"/>
                <w:szCs w:val="20"/>
              </w:rPr>
              <w:t>1.0</w:t>
            </w:r>
          </w:p>
        </w:tc>
      </w:tr>
    </w:tbl>
    <w:p w14:paraId="3A3A93A7"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38D14A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43F49C1" w14:textId="77777777" w:rsidR="00A8174D"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AFD5405" w14:textId="77777777" w:rsidR="00A8174D" w:rsidRDefault="00000000">
            <w:r>
              <w:rPr>
                <w:sz w:val="20"/>
                <w:szCs w:val="20"/>
              </w:rPr>
              <w:t>March 2026</w:t>
            </w:r>
          </w:p>
        </w:tc>
      </w:tr>
    </w:tbl>
    <w:p w14:paraId="765E9738"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1B16087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5DC3AE7" w14:textId="77777777" w:rsidR="00A8174D"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CCC77A1" w14:textId="77777777" w:rsidR="00A8174D" w:rsidRDefault="00000000">
            <w:r>
              <w:rPr>
                <w:sz w:val="20"/>
                <w:szCs w:val="20"/>
              </w:rPr>
              <w:t>March 2027</w:t>
            </w:r>
          </w:p>
        </w:tc>
      </w:tr>
    </w:tbl>
    <w:p w14:paraId="374ED6A8"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5F12B63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68DAB51" w14:textId="77777777" w:rsidR="00A8174D"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3F23CC8" w14:textId="77777777" w:rsidR="00A8174D" w:rsidRDefault="00000000">
            <w:r>
              <w:rPr>
                <w:sz w:val="20"/>
                <w:szCs w:val="20"/>
              </w:rPr>
              <w:t>Senior Leadership Team</w:t>
            </w:r>
          </w:p>
        </w:tc>
      </w:tr>
    </w:tbl>
    <w:p w14:paraId="6BE676CF"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68DD3D1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368E0EF" w14:textId="77777777" w:rsidR="00A8174D"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989DC81" w14:textId="77777777" w:rsidR="00A8174D" w:rsidRDefault="00000000">
            <w:r>
              <w:rPr>
                <w:sz w:val="20"/>
                <w:szCs w:val="20"/>
              </w:rPr>
              <w:t>All staff, tutors, contractors and workers engaged by TLSPH LTD</w:t>
            </w:r>
          </w:p>
        </w:tc>
      </w:tr>
    </w:tbl>
    <w:p w14:paraId="0A7DA1B5"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577AE0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B14405" w14:textId="77777777" w:rsidR="00A8174D"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B8B2E2F" w14:textId="77777777" w:rsidR="00A8174D" w:rsidRDefault="00000000">
            <w:r>
              <w:rPr>
                <w:sz w:val="20"/>
                <w:szCs w:val="20"/>
              </w:rPr>
              <w:t>Public Interest Disclosure Act 1998 (PIDA) | Employment Rights Act 1996 (ss.43A–43L, as amended by PIDA) | Enterprise and Regulatory Reform Act 2013 | Equality Act 2010 | Bribery Act 2010 | Health and Safety at Work etc. Act 1974 | UK General Data Protection Regulation (UK GDPR) | Data Protection Act 2018 | Prescribed Persons Order 2014 (SI 2014/2418, as amended) | ACAS guidance on whistleblowing at work</w:t>
            </w:r>
          </w:p>
        </w:tc>
      </w:tr>
    </w:tbl>
    <w:p w14:paraId="7B5BD3D9" w14:textId="77777777" w:rsidR="00A8174D" w:rsidRDefault="00A8174D">
      <w:pPr>
        <w:spacing w:after="80"/>
      </w:pPr>
    </w:p>
    <w:p w14:paraId="0CDB2A77"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8174D" w14:paraId="1F915F4D"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4EF8C9CE" w14:textId="77777777" w:rsidR="00A8174D" w:rsidRDefault="00000000">
            <w:pPr>
              <w:spacing w:after="60"/>
            </w:pPr>
            <w:r>
              <w:rPr>
                <w:b/>
                <w:bCs/>
                <w:color w:val="1A7A4A"/>
                <w:sz w:val="21"/>
                <w:szCs w:val="21"/>
              </w:rPr>
              <w:t>Your Protection Under the Law</w:t>
            </w:r>
          </w:p>
          <w:p w14:paraId="3962D4FA" w14:textId="77777777" w:rsidR="00A8174D" w:rsidRDefault="00000000">
            <w:pPr>
              <w:spacing w:before="10" w:after="10"/>
            </w:pPr>
            <w:r>
              <w:rPr>
                <w:sz w:val="20"/>
                <w:szCs w:val="20"/>
              </w:rPr>
              <w:t xml:space="preserve">The Public Interest Disclosure Act 1998 (PIDA) protects workers who make qualifying disclosures in the public interest from detriment and dismissal. TLSPH LTD will not subject any worker to detriment for making a protected disclosure in good faith. Victimisation of a </w:t>
            </w:r>
            <w:proofErr w:type="spellStart"/>
            <w:r>
              <w:rPr>
                <w:sz w:val="20"/>
                <w:szCs w:val="20"/>
              </w:rPr>
              <w:t>whistleblower</w:t>
            </w:r>
            <w:proofErr w:type="spellEnd"/>
            <w:r>
              <w:rPr>
                <w:sz w:val="20"/>
                <w:szCs w:val="20"/>
              </w:rPr>
              <w:t xml:space="preserve"> is a serious disciplinary matter and may also give rise to legal liability for TLSPH.</w:t>
            </w:r>
          </w:p>
        </w:tc>
      </w:tr>
    </w:tbl>
    <w:p w14:paraId="2701D6B4" w14:textId="77777777" w:rsidR="00A8174D" w:rsidRDefault="00A8174D">
      <w:pPr>
        <w:spacing w:after="80"/>
      </w:pPr>
    </w:p>
    <w:p w14:paraId="0C96870B" w14:textId="77777777" w:rsidR="00A8174D" w:rsidRDefault="00000000">
      <w:pPr>
        <w:pBdr>
          <w:bottom w:val="single" w:sz="6" w:space="4" w:color="2E75B6"/>
        </w:pBdr>
        <w:spacing w:before="320" w:after="120"/>
      </w:pPr>
      <w:r>
        <w:rPr>
          <w:b/>
          <w:bCs/>
          <w:color w:val="1B3A6B"/>
          <w:sz w:val="28"/>
          <w:szCs w:val="28"/>
        </w:rPr>
        <w:t>1. Purpose and Scope</w:t>
      </w:r>
    </w:p>
    <w:p w14:paraId="05C767B3" w14:textId="77777777" w:rsidR="00A8174D" w:rsidRDefault="00000000">
      <w:pPr>
        <w:spacing w:before="60" w:after="100"/>
      </w:pPr>
      <w:r>
        <w:t>This policy sets out the arrangements by which staff, tutors, and contractors of TLSPH LTD (referred to as "TLSPH") may raise serious concerns about wrongdoing, malpractice, or illegal activity — commonly referred to as "whistleblowing" — and the protections available to them.</w:t>
      </w:r>
    </w:p>
    <w:p w14:paraId="4DE1E211" w14:textId="77777777" w:rsidR="00A8174D" w:rsidRDefault="00000000">
      <w:pPr>
        <w:spacing w:before="60" w:after="100"/>
      </w:pPr>
      <w:r>
        <w:t>This policy applies to all workers engaged by TLSPH, including employees, tutors, contractors, consultants, and agency workers. It does not form part of any contract of employment and may be amended at any time.</w:t>
      </w:r>
    </w:p>
    <w:p w14:paraId="6DAA8E2C" w14:textId="77777777" w:rsidR="00A8174D" w:rsidRDefault="00000000">
      <w:pPr>
        <w:spacing w:before="60" w:after="100"/>
      </w:pPr>
      <w:r>
        <w:t>This policy is not intended to replace the TLSPH Student Complaints &amp; Appeals Policy (TLSPH-POL-004), which covers concerns raised by students about TLSPH's services.</w:t>
      </w:r>
    </w:p>
    <w:p w14:paraId="431D32AF" w14:textId="77777777" w:rsidR="00A8174D" w:rsidRDefault="00A8174D">
      <w:pPr>
        <w:spacing w:after="80"/>
      </w:pPr>
    </w:p>
    <w:p w14:paraId="522E316D" w14:textId="77777777" w:rsidR="00A8174D" w:rsidRDefault="00000000">
      <w:pPr>
        <w:pBdr>
          <w:bottom w:val="single" w:sz="6" w:space="4" w:color="2E75B6"/>
        </w:pBdr>
        <w:spacing w:before="320" w:after="120"/>
      </w:pPr>
      <w:r>
        <w:rPr>
          <w:b/>
          <w:bCs/>
          <w:color w:val="1B3A6B"/>
          <w:sz w:val="28"/>
          <w:szCs w:val="28"/>
        </w:rPr>
        <w:lastRenderedPageBreak/>
        <w:t>2. What Is a Protected Disclosure?</w:t>
      </w:r>
    </w:p>
    <w:p w14:paraId="512AF1DF" w14:textId="77777777" w:rsidR="00A8174D" w:rsidRDefault="00000000">
      <w:pPr>
        <w:spacing w:before="60" w:after="100"/>
      </w:pPr>
      <w:r>
        <w:t>Under the Public Interest Disclosure Act 1998, a protected disclosure is a qualifying disclosure made in the public interest by a worker who reasonably believes that one or more of the following types of wrongdoing has occurred, is occurring, or is likely to occur:</w:t>
      </w:r>
    </w:p>
    <w:p w14:paraId="778DD897" w14:textId="77777777" w:rsidR="00A8174D" w:rsidRDefault="00000000">
      <w:pPr>
        <w:pStyle w:val="ListParagraph"/>
        <w:numPr>
          <w:ilvl w:val="0"/>
          <w:numId w:val="2"/>
        </w:numPr>
        <w:spacing w:before="40" w:after="40"/>
      </w:pPr>
      <w:r>
        <w:t>A criminal offence (e.g. fraud, bribery, theft)</w:t>
      </w:r>
    </w:p>
    <w:p w14:paraId="17BB1E3B" w14:textId="77777777" w:rsidR="00A8174D" w:rsidRDefault="00000000">
      <w:pPr>
        <w:pStyle w:val="ListParagraph"/>
        <w:numPr>
          <w:ilvl w:val="0"/>
          <w:numId w:val="2"/>
        </w:numPr>
        <w:spacing w:before="40" w:after="40"/>
      </w:pPr>
      <w:r>
        <w:t>A failure to comply with a legal obligation</w:t>
      </w:r>
    </w:p>
    <w:p w14:paraId="00837D34" w14:textId="77777777" w:rsidR="00A8174D" w:rsidRDefault="00000000">
      <w:pPr>
        <w:pStyle w:val="ListParagraph"/>
        <w:numPr>
          <w:ilvl w:val="0"/>
          <w:numId w:val="2"/>
        </w:numPr>
        <w:spacing w:before="40" w:after="40"/>
      </w:pPr>
      <w:r>
        <w:t>A miscarriage of justice</w:t>
      </w:r>
    </w:p>
    <w:p w14:paraId="4F66D71B" w14:textId="77777777" w:rsidR="00A8174D" w:rsidRDefault="00000000">
      <w:pPr>
        <w:pStyle w:val="ListParagraph"/>
        <w:numPr>
          <w:ilvl w:val="0"/>
          <w:numId w:val="2"/>
        </w:numPr>
        <w:spacing w:before="40" w:after="40"/>
      </w:pPr>
      <w:r>
        <w:t>A danger to the health or safety of any individual</w:t>
      </w:r>
    </w:p>
    <w:p w14:paraId="37570EE3" w14:textId="77777777" w:rsidR="00A8174D" w:rsidRDefault="00000000">
      <w:pPr>
        <w:pStyle w:val="ListParagraph"/>
        <w:numPr>
          <w:ilvl w:val="0"/>
          <w:numId w:val="2"/>
        </w:numPr>
        <w:spacing w:before="40" w:after="40"/>
      </w:pPr>
      <w:r>
        <w:t>Damage to the environment</w:t>
      </w:r>
    </w:p>
    <w:p w14:paraId="21E2E4DF" w14:textId="77777777" w:rsidR="00A8174D" w:rsidRDefault="00000000">
      <w:pPr>
        <w:pStyle w:val="ListParagraph"/>
        <w:numPr>
          <w:ilvl w:val="0"/>
          <w:numId w:val="2"/>
        </w:numPr>
        <w:spacing w:before="40" w:after="40"/>
      </w:pPr>
      <w:r>
        <w:t>The deliberate concealment of any of the above</w:t>
      </w:r>
    </w:p>
    <w:p w14:paraId="187300A7" w14:textId="77777777" w:rsidR="00A8174D" w:rsidRDefault="00A8174D">
      <w:pPr>
        <w:spacing w:after="80"/>
      </w:pPr>
    </w:p>
    <w:p w14:paraId="0EECBEA5" w14:textId="77777777" w:rsidR="00A8174D" w:rsidRDefault="00000000">
      <w:pPr>
        <w:spacing w:before="60" w:after="100"/>
      </w:pPr>
      <w:r>
        <w:t>Following the Enterprise and Regulatory Reform Act 2013, a disclosure is only protected if the worker reasonably believes it is made in the public interest. Personal grievances — such as disputes about pay, terms of employment, or interpersonal conflicts — are not covered by this policy. Such matters should be raised via the relevant HR or complaints process.</w:t>
      </w:r>
    </w:p>
    <w:p w14:paraId="2B5A675B" w14:textId="77777777" w:rsidR="00A8174D" w:rsidRDefault="00A8174D">
      <w:pPr>
        <w:spacing w:after="80"/>
      </w:pPr>
    </w:p>
    <w:p w14:paraId="463BD65D" w14:textId="77777777" w:rsidR="00A8174D" w:rsidRDefault="00000000">
      <w:pPr>
        <w:pBdr>
          <w:bottom w:val="single" w:sz="6" w:space="4" w:color="2E75B6"/>
        </w:pBdr>
        <w:spacing w:before="320" w:after="120"/>
      </w:pPr>
      <w:r>
        <w:rPr>
          <w:b/>
          <w:bCs/>
          <w:color w:val="1B3A6B"/>
          <w:sz w:val="28"/>
          <w:szCs w:val="28"/>
        </w:rPr>
        <w:t>3. Examples of Concerns Covered by This Policy</w:t>
      </w:r>
    </w:p>
    <w:p w14:paraId="009B927E" w14:textId="77777777" w:rsidR="00A8174D" w:rsidRDefault="00000000">
      <w:pPr>
        <w:spacing w:before="60" w:after="100"/>
      </w:pPr>
      <w:r>
        <w:t>The following are examples of the types of concern that may be raised under this policy:</w:t>
      </w:r>
    </w:p>
    <w:p w14:paraId="6B4FA40B" w14:textId="77777777" w:rsidR="00A8174D" w:rsidRDefault="00000000">
      <w:pPr>
        <w:pStyle w:val="ListParagraph"/>
        <w:numPr>
          <w:ilvl w:val="0"/>
          <w:numId w:val="2"/>
        </w:numPr>
        <w:spacing w:before="40" w:after="40"/>
      </w:pPr>
      <w:r>
        <w:t>Fraud, financial irregularity, or misuse of TLSPH funds</w:t>
      </w:r>
    </w:p>
    <w:p w14:paraId="695523A5" w14:textId="77777777" w:rsidR="00A8174D" w:rsidRDefault="00000000">
      <w:pPr>
        <w:pStyle w:val="ListParagraph"/>
        <w:numPr>
          <w:ilvl w:val="0"/>
          <w:numId w:val="2"/>
        </w:numPr>
        <w:spacing w:before="40" w:after="40"/>
      </w:pPr>
      <w:r>
        <w:t>Bribery or corruption (see also Anti-Bribery &amp; Corruption Policy TLSPH-POL-011)</w:t>
      </w:r>
    </w:p>
    <w:p w14:paraId="02455AAB" w14:textId="77777777" w:rsidR="00A8174D" w:rsidRDefault="00000000">
      <w:pPr>
        <w:pStyle w:val="ListParagraph"/>
        <w:numPr>
          <w:ilvl w:val="0"/>
          <w:numId w:val="2"/>
        </w:numPr>
        <w:spacing w:before="40" w:after="40"/>
      </w:pPr>
      <w:r>
        <w:t>Academic malpractice or assessment fraud involving staff</w:t>
      </w:r>
    </w:p>
    <w:p w14:paraId="39B410E9" w14:textId="77777777" w:rsidR="00A8174D" w:rsidRDefault="00000000">
      <w:pPr>
        <w:pStyle w:val="ListParagraph"/>
        <w:numPr>
          <w:ilvl w:val="0"/>
          <w:numId w:val="2"/>
        </w:numPr>
        <w:spacing w:before="40" w:after="40"/>
      </w:pPr>
      <w:r>
        <w:t>A serious risk to student safety or welfare</w:t>
      </w:r>
    </w:p>
    <w:p w14:paraId="4BF99CBA" w14:textId="77777777" w:rsidR="00A8174D" w:rsidRDefault="00000000">
      <w:pPr>
        <w:pStyle w:val="ListParagraph"/>
        <w:numPr>
          <w:ilvl w:val="0"/>
          <w:numId w:val="2"/>
        </w:numPr>
        <w:spacing w:before="40" w:after="40"/>
      </w:pPr>
      <w:r>
        <w:t>A safeguarding concern involving a member of staff (see Safeguarding Policy TLSPH-POL-003)</w:t>
      </w:r>
    </w:p>
    <w:p w14:paraId="41FE737F" w14:textId="77777777" w:rsidR="00A8174D" w:rsidRDefault="00000000">
      <w:pPr>
        <w:pStyle w:val="ListParagraph"/>
        <w:numPr>
          <w:ilvl w:val="0"/>
          <w:numId w:val="2"/>
        </w:numPr>
        <w:spacing w:before="40" w:after="40"/>
      </w:pPr>
      <w:r>
        <w:t>Breach of UK GDPR or data protection obligations</w:t>
      </w:r>
    </w:p>
    <w:p w14:paraId="59A1A680" w14:textId="77777777" w:rsidR="00A8174D" w:rsidRDefault="00000000">
      <w:pPr>
        <w:pStyle w:val="ListParagraph"/>
        <w:numPr>
          <w:ilvl w:val="0"/>
          <w:numId w:val="2"/>
        </w:numPr>
        <w:spacing w:before="40" w:after="40"/>
      </w:pPr>
      <w:r>
        <w:t>Deliberate concealment of a regulatory breach or awarding body violation</w:t>
      </w:r>
    </w:p>
    <w:p w14:paraId="297D74C3" w14:textId="77777777" w:rsidR="00A8174D" w:rsidRDefault="00000000">
      <w:pPr>
        <w:pStyle w:val="ListParagraph"/>
        <w:numPr>
          <w:ilvl w:val="0"/>
          <w:numId w:val="2"/>
        </w:numPr>
        <w:spacing w:before="40" w:after="40"/>
      </w:pPr>
      <w:r>
        <w:t>Illegal discrimination or serious breach of the Equality Act 2010</w:t>
      </w:r>
    </w:p>
    <w:p w14:paraId="4CF524C5" w14:textId="77777777" w:rsidR="00A8174D" w:rsidRDefault="00000000">
      <w:pPr>
        <w:pStyle w:val="ListParagraph"/>
        <w:numPr>
          <w:ilvl w:val="0"/>
          <w:numId w:val="2"/>
        </w:numPr>
        <w:spacing w:before="40" w:after="40"/>
      </w:pPr>
      <w:r>
        <w:t>A serious health and safety risk</w:t>
      </w:r>
    </w:p>
    <w:p w14:paraId="739081CA" w14:textId="77777777" w:rsidR="00A8174D" w:rsidRDefault="00000000">
      <w:pPr>
        <w:pStyle w:val="ListParagraph"/>
        <w:numPr>
          <w:ilvl w:val="0"/>
          <w:numId w:val="2"/>
        </w:numPr>
        <w:spacing w:before="40" w:after="40"/>
      </w:pPr>
      <w:r>
        <w:t>Tax evasion or facilitation of tax evasion under the Criminal Finances Act 2017</w:t>
      </w:r>
    </w:p>
    <w:p w14:paraId="09D015A0" w14:textId="77777777" w:rsidR="00A8174D" w:rsidRDefault="00A8174D">
      <w:pPr>
        <w:spacing w:after="80"/>
      </w:pPr>
    </w:p>
    <w:p w14:paraId="0EDA5CB1" w14:textId="77777777" w:rsidR="00A8174D" w:rsidRDefault="00000000">
      <w:pPr>
        <w:pBdr>
          <w:bottom w:val="single" w:sz="6" w:space="4" w:color="2E75B6"/>
        </w:pBdr>
        <w:spacing w:before="320" w:after="120"/>
      </w:pPr>
      <w:r>
        <w:rPr>
          <w:b/>
          <w:bCs/>
          <w:color w:val="1B3A6B"/>
          <w:sz w:val="28"/>
          <w:szCs w:val="28"/>
        </w:rPr>
        <w:t>4. How to Raise a Concern</w:t>
      </w:r>
    </w:p>
    <w:p w14:paraId="6A22A34D" w14:textId="77777777" w:rsidR="00A8174D" w:rsidRDefault="00000000">
      <w:pPr>
        <w:spacing w:before="220" w:after="80"/>
      </w:pPr>
      <w:r>
        <w:rPr>
          <w:b/>
          <w:bCs/>
          <w:color w:val="2E75B6"/>
          <w:sz w:val="24"/>
          <w:szCs w:val="24"/>
        </w:rPr>
        <w:t>4.1 Internal Reporting</w:t>
      </w:r>
    </w:p>
    <w:p w14:paraId="4DDFB93B" w14:textId="77777777" w:rsidR="00A8174D" w:rsidRDefault="00000000">
      <w:pPr>
        <w:spacing w:before="60" w:after="100"/>
      </w:pPr>
      <w:r>
        <w:t>Concerns should normally be raised internally in the first instance. Workers may:</w:t>
      </w:r>
    </w:p>
    <w:p w14:paraId="1AD1FABB" w14:textId="77777777" w:rsidR="00A8174D" w:rsidRDefault="00000000">
      <w:pPr>
        <w:pStyle w:val="ListParagraph"/>
        <w:numPr>
          <w:ilvl w:val="0"/>
          <w:numId w:val="2"/>
        </w:numPr>
        <w:spacing w:before="40" w:after="40"/>
      </w:pPr>
      <w:r>
        <w:t>Report to the Senior Leadership Team by email: whistleblowing@thelondonschoolofpublichealth.com</w:t>
      </w:r>
    </w:p>
    <w:p w14:paraId="048C99CD" w14:textId="77777777" w:rsidR="00A8174D" w:rsidRDefault="00000000">
      <w:pPr>
        <w:pStyle w:val="ListParagraph"/>
        <w:numPr>
          <w:ilvl w:val="0"/>
          <w:numId w:val="2"/>
        </w:numPr>
        <w:spacing w:before="40" w:after="40"/>
      </w:pPr>
      <w:r>
        <w:t>Submit a concern in writing, marked confidential, to the Senior Leadership Team</w:t>
      </w:r>
    </w:p>
    <w:p w14:paraId="20F4F3FD" w14:textId="77777777" w:rsidR="00A8174D" w:rsidRDefault="00A8174D">
      <w:pPr>
        <w:spacing w:after="80"/>
      </w:pPr>
    </w:p>
    <w:p w14:paraId="7040F252" w14:textId="77777777" w:rsidR="00A8174D" w:rsidRDefault="00000000">
      <w:pPr>
        <w:spacing w:before="60" w:after="100"/>
      </w:pPr>
      <w:r>
        <w:t>Workers are encouraged to identify themselves when raising a concern, as this makes it easier to investigate effectively. However, TLSPH accepts anonymous reports and will investigate them as far as the available information permits.</w:t>
      </w:r>
    </w:p>
    <w:p w14:paraId="069D2396"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8174D" w14:paraId="37EF1328"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556AE544" w14:textId="77777777" w:rsidR="00A8174D" w:rsidRDefault="00000000">
            <w:pPr>
              <w:spacing w:after="60"/>
            </w:pPr>
            <w:r>
              <w:rPr>
                <w:b/>
                <w:bCs/>
                <w:color w:val="D4720A"/>
                <w:sz w:val="21"/>
                <w:szCs w:val="21"/>
              </w:rPr>
              <w:lastRenderedPageBreak/>
              <w:t>If the Concern Involves the Senior Leadership Team</w:t>
            </w:r>
          </w:p>
          <w:p w14:paraId="00EA4F41" w14:textId="77777777" w:rsidR="00A8174D" w:rsidRDefault="00000000">
            <w:pPr>
              <w:spacing w:before="10" w:after="10"/>
            </w:pPr>
            <w:r>
              <w:rPr>
                <w:sz w:val="20"/>
                <w:szCs w:val="20"/>
              </w:rPr>
              <w:t>If the concern relates to a member of the Senior Leadership Team or a director of TLSPH, the worker should raise the concern directly with the TLSPH Board of Directors or report externally to a prescribed person (see Section 4.2). Contact details for directors are held internally and available on request.</w:t>
            </w:r>
          </w:p>
        </w:tc>
      </w:tr>
    </w:tbl>
    <w:p w14:paraId="69BEB541" w14:textId="77777777" w:rsidR="00A8174D" w:rsidRDefault="00000000">
      <w:pPr>
        <w:spacing w:before="220" w:after="80"/>
      </w:pPr>
      <w:r>
        <w:rPr>
          <w:b/>
          <w:bCs/>
          <w:color w:val="2E75B6"/>
          <w:sz w:val="24"/>
          <w:szCs w:val="24"/>
        </w:rPr>
        <w:t>4.2 External Reporting to a Prescribed Person</w:t>
      </w:r>
    </w:p>
    <w:p w14:paraId="543C6E1B" w14:textId="77777777" w:rsidR="00A8174D" w:rsidRDefault="00000000">
      <w:pPr>
        <w:spacing w:before="60" w:after="100"/>
      </w:pPr>
      <w:r>
        <w:t>Under the Prescribed Persons Order 2014 (as amended), workers may make a protected disclosure directly to a prescribed person or body without first raising it internally, provided they reasonably believe the disclosure is substantially true. Relevant prescribed persons include:</w:t>
      </w:r>
    </w:p>
    <w:p w14:paraId="2D58E670"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5142530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8D2E5B" w14:textId="77777777" w:rsidR="00A8174D"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1382077" w14:textId="77777777" w:rsidR="00A8174D" w:rsidRDefault="00000000">
            <w:r>
              <w:rPr>
                <w:sz w:val="20"/>
                <w:szCs w:val="20"/>
              </w:rPr>
              <w:t>Concerns about regulated qualifications: www.gov.uk/ofqual</w:t>
            </w:r>
          </w:p>
        </w:tc>
      </w:tr>
    </w:tbl>
    <w:p w14:paraId="7878905A"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1FD970B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46D836" w14:textId="77777777" w:rsidR="00A8174D" w:rsidRDefault="00000000">
            <w:r>
              <w:rPr>
                <w:b/>
                <w:bCs/>
                <w:color w:val="1B3A6B"/>
                <w:sz w:val="20"/>
                <w:szCs w:val="20"/>
              </w:rPr>
              <w:t>Health and Safety Executive (HSE)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CE171D9" w14:textId="77777777" w:rsidR="00A8174D" w:rsidRDefault="00000000">
            <w:r>
              <w:rPr>
                <w:sz w:val="20"/>
                <w:szCs w:val="20"/>
              </w:rPr>
              <w:t>Health and safety concerns: www.hse.gov.uk</w:t>
            </w:r>
          </w:p>
        </w:tc>
      </w:tr>
    </w:tbl>
    <w:p w14:paraId="73C50EA3"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495E27F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CF8956" w14:textId="77777777" w:rsidR="00A8174D" w:rsidRDefault="00000000">
            <w:r>
              <w:rPr>
                <w:b/>
                <w:bCs/>
                <w:color w:val="1B3A6B"/>
                <w:sz w:val="20"/>
                <w:szCs w:val="20"/>
              </w:rPr>
              <w:t>Information Commissioner's Office (ICO)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9D4877A" w14:textId="77777777" w:rsidR="00A8174D" w:rsidRDefault="00000000">
            <w:r>
              <w:rPr>
                <w:sz w:val="20"/>
                <w:szCs w:val="20"/>
              </w:rPr>
              <w:t>Data protection breaches: www.ico.org.uk</w:t>
            </w:r>
          </w:p>
        </w:tc>
      </w:tr>
    </w:tbl>
    <w:p w14:paraId="3C30F87E"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32A89FB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DB9BC9C" w14:textId="77777777" w:rsidR="00A8174D" w:rsidRDefault="00000000">
            <w:r>
              <w:rPr>
                <w:b/>
                <w:bCs/>
                <w:color w:val="1B3A6B"/>
                <w:sz w:val="20"/>
                <w:szCs w:val="20"/>
              </w:rPr>
              <w:t>HM Revenue &amp; Customs (HMRC)</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985876A" w14:textId="77777777" w:rsidR="00A8174D" w:rsidRDefault="00000000">
            <w:r>
              <w:rPr>
                <w:sz w:val="20"/>
                <w:szCs w:val="20"/>
              </w:rPr>
              <w:t>Tax evasion: www.gov.uk/report-tax-fraud</w:t>
            </w:r>
          </w:p>
        </w:tc>
      </w:tr>
    </w:tbl>
    <w:p w14:paraId="0A03D76C"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196D32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6BF697" w14:textId="77777777" w:rsidR="00A8174D" w:rsidRDefault="00000000">
            <w:r>
              <w:rPr>
                <w:b/>
                <w:bCs/>
                <w:color w:val="1B3A6B"/>
                <w:sz w:val="20"/>
                <w:szCs w:val="20"/>
              </w:rPr>
              <w:t>Serious Fraud Office (SFO)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8DFED13" w14:textId="77777777" w:rsidR="00A8174D" w:rsidRDefault="00000000">
            <w:r>
              <w:rPr>
                <w:sz w:val="20"/>
                <w:szCs w:val="20"/>
              </w:rPr>
              <w:t>Fraud and corruption: www.sfo.gov.uk</w:t>
            </w:r>
          </w:p>
        </w:tc>
      </w:tr>
    </w:tbl>
    <w:p w14:paraId="322F9CE5"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6F5D605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7A2BE3A" w14:textId="77777777" w:rsidR="00A8174D" w:rsidRDefault="00000000">
            <w:r>
              <w:rPr>
                <w:b/>
                <w:bCs/>
                <w:color w:val="1B3A6B"/>
                <w:sz w:val="20"/>
                <w:szCs w:val="20"/>
              </w:rPr>
              <w:t>Equality and Human Rights Commission (EHRC)</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968AA62" w14:textId="77777777" w:rsidR="00A8174D" w:rsidRDefault="00000000">
            <w:r>
              <w:rPr>
                <w:sz w:val="20"/>
                <w:szCs w:val="20"/>
              </w:rPr>
              <w:t>Equality law breaches: www.equalityhumanrights.com</w:t>
            </w:r>
          </w:p>
        </w:tc>
      </w:tr>
    </w:tbl>
    <w:p w14:paraId="6C45FBA3"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7B0D5EA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3D39D2A" w14:textId="77777777" w:rsidR="00A8174D" w:rsidRDefault="00000000">
            <w:r>
              <w:rPr>
                <w:b/>
                <w:bCs/>
                <w:color w:val="1B3A6B"/>
                <w:sz w:val="20"/>
                <w:szCs w:val="20"/>
              </w:rPr>
              <w:t>Protect (formerly Public Concern at 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8414552" w14:textId="77777777" w:rsidR="00A8174D" w:rsidRDefault="00000000">
            <w:r>
              <w:rPr>
                <w:sz w:val="20"/>
                <w:szCs w:val="20"/>
              </w:rPr>
              <w:t>Independent whistleblowing charity: www.protect-advice.org.uk  |  020 3117 2520</w:t>
            </w:r>
          </w:p>
        </w:tc>
      </w:tr>
    </w:tbl>
    <w:p w14:paraId="4AF56D9C" w14:textId="77777777" w:rsidR="00A8174D" w:rsidRDefault="00A8174D">
      <w:pPr>
        <w:spacing w:after="80"/>
      </w:pPr>
    </w:p>
    <w:p w14:paraId="447AC905" w14:textId="77777777" w:rsidR="00A8174D" w:rsidRDefault="00000000">
      <w:pPr>
        <w:pBdr>
          <w:bottom w:val="single" w:sz="6" w:space="4" w:color="2E75B6"/>
        </w:pBdr>
        <w:spacing w:before="320" w:after="120"/>
      </w:pPr>
      <w:r>
        <w:rPr>
          <w:b/>
          <w:bCs/>
          <w:color w:val="1B3A6B"/>
          <w:sz w:val="28"/>
          <w:szCs w:val="28"/>
        </w:rPr>
        <w:t>5. What Happens After a Report Is Made</w:t>
      </w:r>
    </w:p>
    <w:p w14:paraId="357EAC5E" w14:textId="77777777" w:rsidR="00A8174D" w:rsidRDefault="00000000">
      <w:pPr>
        <w:spacing w:before="60" w:after="100"/>
      </w:pPr>
      <w:r>
        <w:t>Upon receiving a whistleblowing report, TLSPH will:</w:t>
      </w:r>
    </w:p>
    <w:p w14:paraId="57A76D09" w14:textId="77777777" w:rsidR="00A8174D" w:rsidRDefault="00000000">
      <w:pPr>
        <w:pStyle w:val="ListParagraph"/>
        <w:numPr>
          <w:ilvl w:val="0"/>
          <w:numId w:val="3"/>
        </w:numPr>
        <w:spacing w:before="40" w:after="40"/>
      </w:pPr>
      <w:r>
        <w:t>Acknowledge receipt of the concern within 5 working days (where the reporter has identified themselves).</w:t>
      </w:r>
    </w:p>
    <w:p w14:paraId="4D0ED8C5" w14:textId="77777777" w:rsidR="00A8174D" w:rsidRDefault="00000000">
      <w:pPr>
        <w:pStyle w:val="ListParagraph"/>
        <w:numPr>
          <w:ilvl w:val="0"/>
          <w:numId w:val="3"/>
        </w:numPr>
        <w:spacing w:before="40" w:after="40"/>
      </w:pPr>
      <w:r>
        <w:t>Assess the nature and seriousness of the concern and determine the appropriate course of action.</w:t>
      </w:r>
    </w:p>
    <w:p w14:paraId="4D9EE9FD" w14:textId="77777777" w:rsidR="00A8174D" w:rsidRDefault="00000000">
      <w:pPr>
        <w:pStyle w:val="ListParagraph"/>
        <w:numPr>
          <w:ilvl w:val="0"/>
          <w:numId w:val="3"/>
        </w:numPr>
        <w:spacing w:before="40" w:after="40"/>
      </w:pPr>
      <w:r>
        <w:t>Investigate the concern promptly, fairly, and as confidentially as circumstances permit.</w:t>
      </w:r>
    </w:p>
    <w:p w14:paraId="64836261" w14:textId="77777777" w:rsidR="00A8174D" w:rsidRDefault="00000000">
      <w:pPr>
        <w:pStyle w:val="ListParagraph"/>
        <w:numPr>
          <w:ilvl w:val="0"/>
          <w:numId w:val="3"/>
        </w:numPr>
        <w:spacing w:before="40" w:after="40"/>
      </w:pPr>
      <w:r>
        <w:t>Where appropriate, inform the reporter of the outcome, subject to any legal constraints on disclosure.</w:t>
      </w:r>
    </w:p>
    <w:p w14:paraId="1F620A6B" w14:textId="77777777" w:rsidR="00A8174D" w:rsidRDefault="00000000">
      <w:pPr>
        <w:pStyle w:val="ListParagraph"/>
        <w:numPr>
          <w:ilvl w:val="0"/>
          <w:numId w:val="3"/>
        </w:numPr>
        <w:spacing w:before="40" w:after="40"/>
      </w:pPr>
      <w:r>
        <w:t>Take appropriate remedial action where wrongdoing is found.</w:t>
      </w:r>
    </w:p>
    <w:p w14:paraId="0F3662EC" w14:textId="77777777" w:rsidR="00A8174D" w:rsidRDefault="00A8174D">
      <w:pPr>
        <w:spacing w:after="80"/>
      </w:pPr>
    </w:p>
    <w:p w14:paraId="347DA61E" w14:textId="77777777" w:rsidR="00A8174D" w:rsidRDefault="00000000">
      <w:pPr>
        <w:spacing w:before="60" w:after="100"/>
      </w:pPr>
      <w:r>
        <w:lastRenderedPageBreak/>
        <w:t>The investigation will be conducted by a person who is independent of the matter being investigated. Timescales will depend on the complexity of the concern. The reporter will be kept informed of progress where practicable.</w:t>
      </w:r>
    </w:p>
    <w:p w14:paraId="535A9115" w14:textId="77777777" w:rsidR="00A8174D" w:rsidRDefault="00A8174D">
      <w:pPr>
        <w:spacing w:after="80"/>
      </w:pPr>
    </w:p>
    <w:p w14:paraId="547CB7B5" w14:textId="77777777" w:rsidR="00A8174D" w:rsidRDefault="00000000">
      <w:pPr>
        <w:pBdr>
          <w:bottom w:val="single" w:sz="6" w:space="4" w:color="2E75B6"/>
        </w:pBdr>
        <w:spacing w:before="320" w:after="120"/>
      </w:pPr>
      <w:r>
        <w:rPr>
          <w:b/>
          <w:bCs/>
          <w:color w:val="1B3A6B"/>
          <w:sz w:val="28"/>
          <w:szCs w:val="28"/>
        </w:rPr>
        <w:t>6. Confidentiality</w:t>
      </w:r>
    </w:p>
    <w:p w14:paraId="4FA075DE" w14:textId="77777777" w:rsidR="00A8174D" w:rsidRDefault="00000000">
      <w:pPr>
        <w:spacing w:before="60" w:after="100"/>
      </w:pPr>
      <w:r>
        <w:t>TLSPH will handle all whistleblowing reports with discretion and will not disclose the identity of the reporter without their consent, except where required by law (for example, where disclosure is necessary to prevent a serious crime or where the reporter has given explicit consent). All reports and investigation records will be processed in accordance with UK GDPR and the TLSPH Data Retention Policy (TLSPH-POL-007).</w:t>
      </w:r>
    </w:p>
    <w:p w14:paraId="59D69AB1" w14:textId="77777777" w:rsidR="00A8174D" w:rsidRDefault="00A8174D">
      <w:pPr>
        <w:spacing w:after="80"/>
      </w:pPr>
    </w:p>
    <w:p w14:paraId="18F9585D" w14:textId="77777777" w:rsidR="00A8174D" w:rsidRDefault="00000000">
      <w:pPr>
        <w:pBdr>
          <w:bottom w:val="single" w:sz="6" w:space="4" w:color="2E75B6"/>
        </w:pBdr>
        <w:spacing w:before="320" w:after="120"/>
      </w:pPr>
      <w:r>
        <w:rPr>
          <w:b/>
          <w:bCs/>
          <w:color w:val="1B3A6B"/>
          <w:sz w:val="28"/>
          <w:szCs w:val="28"/>
        </w:rPr>
        <w:t>7. Protection from Detriment</w:t>
      </w:r>
    </w:p>
    <w:p w14:paraId="30BF9604" w14:textId="77777777" w:rsidR="00A8174D" w:rsidRDefault="00000000">
      <w:pPr>
        <w:spacing w:before="60" w:after="100"/>
      </w:pPr>
      <w:r>
        <w:t>Under sections 43A to 43L of the Employment Rights Act 1996 (as inserted by PIDA), any worker who makes a protected disclosure is entitled to protection from:</w:t>
      </w:r>
    </w:p>
    <w:p w14:paraId="40EAF411" w14:textId="77777777" w:rsidR="00A8174D" w:rsidRDefault="00000000">
      <w:pPr>
        <w:pStyle w:val="ListParagraph"/>
        <w:numPr>
          <w:ilvl w:val="0"/>
          <w:numId w:val="2"/>
        </w:numPr>
        <w:spacing w:before="40" w:after="40"/>
      </w:pPr>
      <w:r>
        <w:t>Dismissal or selection for redundancy on grounds of having made a disclosure</w:t>
      </w:r>
    </w:p>
    <w:p w14:paraId="10A1F723" w14:textId="77777777" w:rsidR="00A8174D" w:rsidRDefault="00000000">
      <w:pPr>
        <w:pStyle w:val="ListParagraph"/>
        <w:numPr>
          <w:ilvl w:val="0"/>
          <w:numId w:val="2"/>
        </w:numPr>
        <w:spacing w:before="40" w:after="40"/>
      </w:pPr>
      <w:r>
        <w:t>Any other detriment, including demotion, disciplinary action, harassment, or exclusion</w:t>
      </w:r>
    </w:p>
    <w:p w14:paraId="3092ADB7" w14:textId="77777777" w:rsidR="00A8174D" w:rsidRDefault="00A8174D">
      <w:pPr>
        <w:spacing w:after="80"/>
      </w:pPr>
    </w:p>
    <w:p w14:paraId="061F2192" w14:textId="77777777" w:rsidR="00A8174D" w:rsidRDefault="00000000">
      <w:pPr>
        <w:spacing w:before="60" w:after="100"/>
      </w:pPr>
      <w:r>
        <w:t>If a worker believes they have suffered detriment as a result of making a protected disclosure, they may raise a complaint via the TLSPH complaints process or bring a claim to an Employment Tribunal. There is no qualifying period of employment to bring a whistleblowing detriment claim.</w:t>
      </w:r>
    </w:p>
    <w:p w14:paraId="73579A94" w14:textId="77777777" w:rsidR="00A8174D" w:rsidRDefault="00A8174D">
      <w:pPr>
        <w:spacing w:after="80"/>
      </w:pPr>
    </w:p>
    <w:p w14:paraId="02D216FB" w14:textId="77777777" w:rsidR="00A8174D" w:rsidRDefault="00000000">
      <w:pPr>
        <w:pBdr>
          <w:bottom w:val="single" w:sz="6" w:space="4" w:color="2E75B6"/>
        </w:pBdr>
        <w:spacing w:before="320" w:after="120"/>
      </w:pPr>
      <w:r>
        <w:rPr>
          <w:b/>
          <w:bCs/>
          <w:color w:val="1B3A6B"/>
          <w:sz w:val="28"/>
          <w:szCs w:val="28"/>
        </w:rPr>
        <w:t>8. Malicious or Vexatious Reports</w:t>
      </w:r>
    </w:p>
    <w:p w14:paraId="50C84E5C" w14:textId="77777777" w:rsidR="00A8174D" w:rsidRDefault="00000000">
      <w:pPr>
        <w:spacing w:before="60" w:after="100"/>
      </w:pPr>
      <w:r>
        <w:t>This policy is intended to support genuine public interest disclosures. Workers who make deliberately false or malicious allegations under this policy may be subject to disciplinary action. This does not affect the protection available to workers who make a report in good faith, even if the concern turns out to be unfounded.</w:t>
      </w:r>
    </w:p>
    <w:p w14:paraId="2F72FB96" w14:textId="77777777" w:rsidR="00A8174D" w:rsidRDefault="00A8174D">
      <w:pPr>
        <w:spacing w:after="80"/>
      </w:pPr>
    </w:p>
    <w:p w14:paraId="692A8401" w14:textId="77777777" w:rsidR="00A8174D" w:rsidRDefault="00000000">
      <w:pPr>
        <w:pBdr>
          <w:bottom w:val="single" w:sz="6" w:space="4" w:color="2E75B6"/>
        </w:pBdr>
        <w:spacing w:before="320" w:after="120"/>
      </w:pPr>
      <w:r>
        <w:rPr>
          <w:b/>
          <w:bCs/>
          <w:color w:val="1B3A6B"/>
          <w:sz w:val="28"/>
          <w:szCs w:val="28"/>
        </w:rPr>
        <w:t>9. Related Policies</w:t>
      </w:r>
    </w:p>
    <w:p w14:paraId="1F170464" w14:textId="77777777" w:rsidR="00A8174D" w:rsidRDefault="00000000">
      <w:pPr>
        <w:pStyle w:val="ListParagraph"/>
        <w:numPr>
          <w:ilvl w:val="0"/>
          <w:numId w:val="2"/>
        </w:numPr>
        <w:spacing w:before="40" w:after="40"/>
      </w:pPr>
      <w:r>
        <w:t>Anti-Bribery &amp; Corruption Policy (TLSPH-POL-011)</w:t>
      </w:r>
    </w:p>
    <w:p w14:paraId="511024A1" w14:textId="77777777" w:rsidR="00A8174D" w:rsidRDefault="00000000">
      <w:pPr>
        <w:pStyle w:val="ListParagraph"/>
        <w:numPr>
          <w:ilvl w:val="0"/>
          <w:numId w:val="2"/>
        </w:numPr>
        <w:spacing w:before="40" w:after="40"/>
      </w:pPr>
      <w:r>
        <w:t>Safeguarding Policy (TLSPH-POL-003)</w:t>
      </w:r>
    </w:p>
    <w:p w14:paraId="735A0615" w14:textId="77777777" w:rsidR="00A8174D" w:rsidRDefault="00000000">
      <w:pPr>
        <w:pStyle w:val="ListParagraph"/>
        <w:numPr>
          <w:ilvl w:val="0"/>
          <w:numId w:val="2"/>
        </w:numPr>
        <w:spacing w:before="40" w:after="40"/>
      </w:pPr>
      <w:r>
        <w:t>Student Complaints &amp; Appeals Policy (TLSPH-POL-004)</w:t>
      </w:r>
    </w:p>
    <w:p w14:paraId="5FA84C69" w14:textId="77777777" w:rsidR="00A8174D" w:rsidRDefault="00000000">
      <w:pPr>
        <w:pStyle w:val="ListParagraph"/>
        <w:numPr>
          <w:ilvl w:val="0"/>
          <w:numId w:val="2"/>
        </w:numPr>
        <w:spacing w:before="40" w:after="40"/>
      </w:pPr>
      <w:r>
        <w:t>Data Protection Policy (UK GDPR)</w:t>
      </w:r>
    </w:p>
    <w:p w14:paraId="568850DA" w14:textId="77777777" w:rsidR="00A8174D" w:rsidRDefault="00000000">
      <w:pPr>
        <w:pStyle w:val="ListParagraph"/>
        <w:numPr>
          <w:ilvl w:val="0"/>
          <w:numId w:val="2"/>
        </w:numPr>
        <w:spacing w:before="40" w:after="40"/>
      </w:pPr>
      <w:r>
        <w:t>Equality, Diversity &amp; Inclusion Policy (TLSPH-POL-005)</w:t>
      </w:r>
    </w:p>
    <w:p w14:paraId="4692ACF0" w14:textId="77777777" w:rsidR="00A8174D" w:rsidRDefault="00A8174D">
      <w:pPr>
        <w:spacing w:after="80"/>
      </w:pPr>
    </w:p>
    <w:p w14:paraId="040142B1" w14:textId="77777777" w:rsidR="00A8174D" w:rsidRDefault="00000000">
      <w:pPr>
        <w:pBdr>
          <w:bottom w:val="single" w:sz="6" w:space="4" w:color="2E75B6"/>
        </w:pBdr>
        <w:spacing w:before="320" w:after="120"/>
      </w:pPr>
      <w:r>
        <w:rPr>
          <w:b/>
          <w:bCs/>
          <w:color w:val="1B3A6B"/>
          <w:sz w:val="28"/>
          <w:szCs w:val="28"/>
        </w:rPr>
        <w:t>10. Contact</w:t>
      </w:r>
    </w:p>
    <w:p w14:paraId="3F682910"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50DE97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9FC1D76" w14:textId="77777777" w:rsidR="00A8174D" w:rsidRDefault="00000000">
            <w:r>
              <w:rPr>
                <w:b/>
                <w:bCs/>
                <w:color w:val="1B3A6B"/>
                <w:sz w:val="20"/>
                <w:szCs w:val="20"/>
              </w:rPr>
              <w:t>Whistleblowing Reports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802F8C1" w14:textId="77777777" w:rsidR="00A8174D" w:rsidRDefault="00000000">
            <w:r>
              <w:rPr>
                <w:sz w:val="20"/>
                <w:szCs w:val="20"/>
              </w:rPr>
              <w:t>whistleblowing@thelondonschoolofpublichealth.com</w:t>
            </w:r>
          </w:p>
        </w:tc>
      </w:tr>
    </w:tbl>
    <w:p w14:paraId="21C35779"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0D818DE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FF887C" w14:textId="77777777" w:rsidR="00A8174D" w:rsidRDefault="00000000">
            <w:r>
              <w:rPr>
                <w:b/>
                <w:bCs/>
                <w:color w:val="1B3A6B"/>
                <w:sz w:val="20"/>
                <w:szCs w:val="20"/>
              </w:rPr>
              <w:t>Protect (independent advice)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F23DA7C" w14:textId="77777777" w:rsidR="00A8174D" w:rsidRDefault="00000000">
            <w:r>
              <w:rPr>
                <w:sz w:val="20"/>
                <w:szCs w:val="20"/>
              </w:rPr>
              <w:t>www.protect-advice.org.uk  |  020 3117 2520</w:t>
            </w:r>
          </w:p>
        </w:tc>
      </w:tr>
    </w:tbl>
    <w:p w14:paraId="3E2EB6DB"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17CF24A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29CFC5" w14:textId="77777777" w:rsidR="00A8174D"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C1474BC" w14:textId="77777777" w:rsidR="00A8174D" w:rsidRDefault="00000000">
            <w:r>
              <w:rPr>
                <w:sz w:val="20"/>
                <w:szCs w:val="20"/>
              </w:rPr>
              <w:t>www.gov.uk/ofqual</w:t>
            </w:r>
          </w:p>
        </w:tc>
      </w:tr>
    </w:tbl>
    <w:p w14:paraId="00BE7BD5" w14:textId="77777777" w:rsidR="00A8174D" w:rsidRDefault="00A8174D">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A8174D" w14:paraId="246C6BD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A14756" w14:textId="77777777" w:rsidR="00A8174D" w:rsidRDefault="00000000">
            <w:r>
              <w:rPr>
                <w:b/>
                <w:bCs/>
                <w:color w:val="1B3A6B"/>
                <w:sz w:val="20"/>
                <w:szCs w:val="20"/>
              </w:rPr>
              <w:t>ICO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43A877C" w14:textId="77777777" w:rsidR="00A8174D" w:rsidRDefault="00000000">
            <w:r>
              <w:rPr>
                <w:sz w:val="20"/>
                <w:szCs w:val="20"/>
              </w:rPr>
              <w:t>www.ico.org.uk  |  0303 123 1113</w:t>
            </w:r>
          </w:p>
        </w:tc>
      </w:tr>
    </w:tbl>
    <w:p w14:paraId="6E71D362" w14:textId="77777777" w:rsidR="00A8174D" w:rsidRDefault="00A8174D">
      <w:pPr>
        <w:spacing w:after="80"/>
      </w:pPr>
    </w:p>
    <w:p w14:paraId="1FC7489B" w14:textId="77777777" w:rsidR="00A8174D" w:rsidRDefault="00A8174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8174D" w14:paraId="3055CA8E"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3B39370E" w14:textId="77777777" w:rsidR="00A8174D" w:rsidRDefault="00000000">
            <w:pPr>
              <w:spacing w:before="40" w:after="40"/>
            </w:pPr>
            <w:r>
              <w:rPr>
                <w:b/>
                <w:bCs/>
                <w:color w:val="1B3A6B"/>
                <w:sz w:val="20"/>
                <w:szCs w:val="20"/>
              </w:rPr>
              <w:t>Policy Review</w:t>
            </w:r>
          </w:p>
          <w:p w14:paraId="1D01D846" w14:textId="77777777" w:rsidR="00A8174D" w:rsidRDefault="00000000">
            <w:pPr>
              <w:spacing w:before="20" w:after="20"/>
            </w:pPr>
            <w:r>
              <w:rPr>
                <w:sz w:val="19"/>
                <w:szCs w:val="19"/>
              </w:rPr>
              <w:t>This policy is reviewed annually by the Senior Leadership Team to ensure compliance with the Public Interest Disclosure Act 1998, the Employment Rights Act 1996, the Enterprise and Regulatory Reform Act 2013, the Prescribed Persons Order 2014, and ACAS guidance. The policy will be updated promptly where there are changes to the list of prescribed persons or UK whistleblowing law.</w:t>
            </w:r>
          </w:p>
          <w:p w14:paraId="6AD2B424" w14:textId="77777777" w:rsidR="00A8174D" w:rsidRDefault="00000000">
            <w:pPr>
              <w:spacing w:before="20" w:after="40"/>
            </w:pPr>
            <w:r>
              <w:rPr>
                <w:i/>
                <w:iCs/>
                <w:color w:val="555555"/>
                <w:sz w:val="19"/>
                <w:szCs w:val="19"/>
              </w:rPr>
              <w:t>Last Reviewed: March 2026   |   Next Review Due: March 2027   |   Version: 1.0</w:t>
            </w:r>
          </w:p>
        </w:tc>
      </w:tr>
    </w:tbl>
    <w:p w14:paraId="66487EA1" w14:textId="77777777" w:rsidR="00686B46" w:rsidRDefault="00686B46"/>
    <w:sectPr w:rsidR="00686B46">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0AB5" w14:textId="77777777" w:rsidR="00686B46" w:rsidRDefault="00686B46">
      <w:r>
        <w:separator/>
      </w:r>
    </w:p>
  </w:endnote>
  <w:endnote w:type="continuationSeparator" w:id="0">
    <w:p w14:paraId="07221250" w14:textId="77777777" w:rsidR="00686B46" w:rsidRDefault="0068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5B5C" w14:textId="77777777" w:rsidR="00A8174D" w:rsidRDefault="00000000">
    <w:pPr>
      <w:pBdr>
        <w:top w:val="single" w:sz="4" w:space="4" w:color="2E75B6"/>
      </w:pBdr>
      <w:spacing w:before="80"/>
    </w:pPr>
    <w:r>
      <w:rPr>
        <w:color w:val="888888"/>
        <w:sz w:val="16"/>
        <w:szCs w:val="16"/>
      </w:rPr>
      <w:t>Whistleblowing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3135" w14:textId="77777777" w:rsidR="00686B46" w:rsidRDefault="00686B46">
      <w:r>
        <w:separator/>
      </w:r>
    </w:p>
  </w:footnote>
  <w:footnote w:type="continuationSeparator" w:id="0">
    <w:p w14:paraId="69323CC5" w14:textId="77777777" w:rsidR="00686B46" w:rsidRDefault="0068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F6C6" w14:textId="77777777" w:rsidR="00A8174D" w:rsidRDefault="00000000">
    <w:pPr>
      <w:pBdr>
        <w:bottom w:val="single" w:sz="6" w:space="6" w:color="2E75B6"/>
      </w:pBdr>
    </w:pPr>
    <w:r>
      <w:rPr>
        <w:noProof/>
      </w:rPr>
      <w:drawing>
        <wp:inline distT="0" distB="0" distL="0" distR="0" wp14:anchorId="37074D1E" wp14:editId="2E264EE4">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53A"/>
    <w:multiLevelType w:val="hybridMultilevel"/>
    <w:tmpl w:val="4762D6F4"/>
    <w:lvl w:ilvl="0" w:tplc="034AA0D2">
      <w:start w:val="1"/>
      <w:numFmt w:val="bullet"/>
      <w:lvlText w:val="•"/>
      <w:lvlJc w:val="left"/>
      <w:pPr>
        <w:ind w:left="720" w:hanging="360"/>
      </w:pPr>
    </w:lvl>
    <w:lvl w:ilvl="1" w:tplc="03ECB134">
      <w:numFmt w:val="decimal"/>
      <w:lvlText w:val=""/>
      <w:lvlJc w:val="left"/>
    </w:lvl>
    <w:lvl w:ilvl="2" w:tplc="CA38833C">
      <w:numFmt w:val="decimal"/>
      <w:lvlText w:val=""/>
      <w:lvlJc w:val="left"/>
    </w:lvl>
    <w:lvl w:ilvl="3" w:tplc="33EC4CF0">
      <w:numFmt w:val="decimal"/>
      <w:lvlText w:val=""/>
      <w:lvlJc w:val="left"/>
    </w:lvl>
    <w:lvl w:ilvl="4" w:tplc="F3EA088C">
      <w:numFmt w:val="decimal"/>
      <w:lvlText w:val=""/>
      <w:lvlJc w:val="left"/>
    </w:lvl>
    <w:lvl w:ilvl="5" w:tplc="288AB630">
      <w:numFmt w:val="decimal"/>
      <w:lvlText w:val=""/>
      <w:lvlJc w:val="left"/>
    </w:lvl>
    <w:lvl w:ilvl="6" w:tplc="EA601D38">
      <w:numFmt w:val="decimal"/>
      <w:lvlText w:val=""/>
      <w:lvlJc w:val="left"/>
    </w:lvl>
    <w:lvl w:ilvl="7" w:tplc="7108D01C">
      <w:numFmt w:val="decimal"/>
      <w:lvlText w:val=""/>
      <w:lvlJc w:val="left"/>
    </w:lvl>
    <w:lvl w:ilvl="8" w:tplc="565C748E">
      <w:numFmt w:val="decimal"/>
      <w:lvlText w:val=""/>
      <w:lvlJc w:val="left"/>
    </w:lvl>
  </w:abstractNum>
  <w:abstractNum w:abstractNumId="1" w15:restartNumberingAfterBreak="0">
    <w:nsid w:val="0E224F75"/>
    <w:multiLevelType w:val="hybridMultilevel"/>
    <w:tmpl w:val="FFA27378"/>
    <w:lvl w:ilvl="0" w:tplc="35BA8E48">
      <w:start w:val="1"/>
      <w:numFmt w:val="bullet"/>
      <w:lvlText w:val="●"/>
      <w:lvlJc w:val="left"/>
      <w:pPr>
        <w:ind w:left="720" w:hanging="360"/>
      </w:pPr>
    </w:lvl>
    <w:lvl w:ilvl="1" w:tplc="009E1A02">
      <w:start w:val="1"/>
      <w:numFmt w:val="bullet"/>
      <w:lvlText w:val="○"/>
      <w:lvlJc w:val="left"/>
      <w:pPr>
        <w:ind w:left="1440" w:hanging="360"/>
      </w:pPr>
    </w:lvl>
    <w:lvl w:ilvl="2" w:tplc="3CAAAA14">
      <w:start w:val="1"/>
      <w:numFmt w:val="bullet"/>
      <w:lvlText w:val="■"/>
      <w:lvlJc w:val="left"/>
      <w:pPr>
        <w:ind w:left="2160" w:hanging="360"/>
      </w:pPr>
    </w:lvl>
    <w:lvl w:ilvl="3" w:tplc="4BEE6B5A">
      <w:start w:val="1"/>
      <w:numFmt w:val="bullet"/>
      <w:lvlText w:val="●"/>
      <w:lvlJc w:val="left"/>
      <w:pPr>
        <w:ind w:left="2880" w:hanging="360"/>
      </w:pPr>
    </w:lvl>
    <w:lvl w:ilvl="4" w:tplc="B22A81FA">
      <w:start w:val="1"/>
      <w:numFmt w:val="bullet"/>
      <w:lvlText w:val="○"/>
      <w:lvlJc w:val="left"/>
      <w:pPr>
        <w:ind w:left="3600" w:hanging="360"/>
      </w:pPr>
    </w:lvl>
    <w:lvl w:ilvl="5" w:tplc="DF8223C0">
      <w:start w:val="1"/>
      <w:numFmt w:val="bullet"/>
      <w:lvlText w:val="■"/>
      <w:lvlJc w:val="left"/>
      <w:pPr>
        <w:ind w:left="4320" w:hanging="360"/>
      </w:pPr>
    </w:lvl>
    <w:lvl w:ilvl="6" w:tplc="F2568314">
      <w:start w:val="1"/>
      <w:numFmt w:val="bullet"/>
      <w:lvlText w:val="●"/>
      <w:lvlJc w:val="left"/>
      <w:pPr>
        <w:ind w:left="5040" w:hanging="360"/>
      </w:pPr>
    </w:lvl>
    <w:lvl w:ilvl="7" w:tplc="09DA3FC2">
      <w:start w:val="1"/>
      <w:numFmt w:val="bullet"/>
      <w:lvlText w:val="●"/>
      <w:lvlJc w:val="left"/>
      <w:pPr>
        <w:ind w:left="5760" w:hanging="360"/>
      </w:pPr>
    </w:lvl>
    <w:lvl w:ilvl="8" w:tplc="4EA2F3FA">
      <w:start w:val="1"/>
      <w:numFmt w:val="bullet"/>
      <w:lvlText w:val="●"/>
      <w:lvlJc w:val="left"/>
      <w:pPr>
        <w:ind w:left="6480" w:hanging="360"/>
      </w:pPr>
    </w:lvl>
  </w:abstractNum>
  <w:abstractNum w:abstractNumId="2" w15:restartNumberingAfterBreak="0">
    <w:nsid w:val="29891A0D"/>
    <w:multiLevelType w:val="hybridMultilevel"/>
    <w:tmpl w:val="5B1EFA4A"/>
    <w:lvl w:ilvl="0" w:tplc="9216E8B0">
      <w:start w:val="1"/>
      <w:numFmt w:val="decimal"/>
      <w:lvlText w:val="%1."/>
      <w:lvlJc w:val="left"/>
      <w:pPr>
        <w:ind w:left="720" w:hanging="360"/>
      </w:pPr>
    </w:lvl>
    <w:lvl w:ilvl="1" w:tplc="5FC6ADBE">
      <w:numFmt w:val="decimal"/>
      <w:lvlText w:val=""/>
      <w:lvlJc w:val="left"/>
    </w:lvl>
    <w:lvl w:ilvl="2" w:tplc="F9306154">
      <w:numFmt w:val="decimal"/>
      <w:lvlText w:val=""/>
      <w:lvlJc w:val="left"/>
    </w:lvl>
    <w:lvl w:ilvl="3" w:tplc="61905F0C">
      <w:numFmt w:val="decimal"/>
      <w:lvlText w:val=""/>
      <w:lvlJc w:val="left"/>
    </w:lvl>
    <w:lvl w:ilvl="4" w:tplc="C79AE290">
      <w:numFmt w:val="decimal"/>
      <w:lvlText w:val=""/>
      <w:lvlJc w:val="left"/>
    </w:lvl>
    <w:lvl w:ilvl="5" w:tplc="383E0106">
      <w:numFmt w:val="decimal"/>
      <w:lvlText w:val=""/>
      <w:lvlJc w:val="left"/>
    </w:lvl>
    <w:lvl w:ilvl="6" w:tplc="7B2A8C50">
      <w:numFmt w:val="decimal"/>
      <w:lvlText w:val=""/>
      <w:lvlJc w:val="left"/>
    </w:lvl>
    <w:lvl w:ilvl="7" w:tplc="58620790">
      <w:numFmt w:val="decimal"/>
      <w:lvlText w:val=""/>
      <w:lvlJc w:val="left"/>
    </w:lvl>
    <w:lvl w:ilvl="8" w:tplc="86BEBCA6">
      <w:numFmt w:val="decimal"/>
      <w:lvlText w:val=""/>
      <w:lvlJc w:val="left"/>
    </w:lvl>
  </w:abstractNum>
  <w:num w:numId="1" w16cid:durableId="1353604899">
    <w:abstractNumId w:val="1"/>
    <w:lvlOverride w:ilvl="0">
      <w:startOverride w:val="1"/>
    </w:lvlOverride>
  </w:num>
  <w:num w:numId="2" w16cid:durableId="1538078612">
    <w:abstractNumId w:val="0"/>
    <w:lvlOverride w:ilvl="0">
      <w:startOverride w:val="1"/>
    </w:lvlOverride>
  </w:num>
  <w:num w:numId="3" w16cid:durableId="12817615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4D"/>
    <w:rsid w:val="00686B46"/>
    <w:rsid w:val="00A70832"/>
    <w:rsid w:val="00A81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D28B6D"/>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2026-05-11T17:23:00Z</dcterms:created>
  <dcterms:modified xsi:type="dcterms:W3CDTF">2026-05-11T17:23:00Z</dcterms:modified>
</cp:coreProperties>
</file>